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C783" w14:textId="433E8216" w:rsidR="00557EC4" w:rsidRDefault="005D618E" w:rsidP="00557EC4">
      <w:pPr>
        <w:pStyle w:val="Default"/>
        <w:jc w:val="right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</w:rPr>
        <w:t>CAP Guidance 5</w:t>
      </w:r>
    </w:p>
    <w:p w14:paraId="7363DDF4" w14:textId="5106E9BC" w:rsidR="00557EC4" w:rsidRDefault="00290F92" w:rsidP="00290F92">
      <w:pPr>
        <w:pStyle w:val="Default"/>
        <w:rPr>
          <w:b/>
          <w:color w:val="auto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7E94B22F" wp14:editId="2984B9C6">
            <wp:extent cx="2345690" cy="731520"/>
            <wp:effectExtent l="0" t="0" r="16510" b="11430"/>
            <wp:docPr id="8774994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99475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6D319" w14:textId="77777777" w:rsidR="00557EC4" w:rsidRDefault="00557EC4" w:rsidP="00D10095">
      <w:pPr>
        <w:pStyle w:val="Default"/>
        <w:jc w:val="center"/>
        <w:rPr>
          <w:b/>
          <w:color w:val="auto"/>
          <w:sz w:val="22"/>
          <w:szCs w:val="22"/>
          <w:u w:val="single"/>
        </w:rPr>
      </w:pPr>
    </w:p>
    <w:p w14:paraId="0D1D50DC" w14:textId="77777777" w:rsidR="00F847B5" w:rsidRPr="00F847B5" w:rsidRDefault="00B16263" w:rsidP="00290F92">
      <w:pPr>
        <w:pStyle w:val="Default"/>
        <w:jc w:val="center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Checklist for Collaborative Course Approvals</w:t>
      </w:r>
    </w:p>
    <w:p w14:paraId="38B3B52E" w14:textId="77777777" w:rsidR="00F847B5" w:rsidRDefault="00F847B5" w:rsidP="00F847B5">
      <w:pPr>
        <w:pStyle w:val="Default"/>
        <w:rPr>
          <w:b/>
          <w:color w:val="auto"/>
          <w:sz w:val="22"/>
          <w:szCs w:val="22"/>
          <w:highlight w:val="yellow"/>
          <w:u w:val="single"/>
        </w:rPr>
      </w:pPr>
    </w:p>
    <w:p w14:paraId="613A7475" w14:textId="77777777" w:rsidR="00B16263" w:rsidRDefault="00B16263" w:rsidP="00B16263">
      <w:pPr>
        <w:pStyle w:val="Default"/>
        <w:rPr>
          <w:b/>
          <w:sz w:val="22"/>
          <w:szCs w:val="22"/>
        </w:rPr>
      </w:pPr>
    </w:p>
    <w:p w14:paraId="1A92A90A" w14:textId="77777777" w:rsidR="00B16263" w:rsidRDefault="00B16263" w:rsidP="006B3BF3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B16263">
        <w:rPr>
          <w:b/>
          <w:sz w:val="22"/>
          <w:szCs w:val="22"/>
        </w:rPr>
        <w:t xml:space="preserve">The </w:t>
      </w:r>
      <w:r w:rsidR="00076BDD">
        <w:rPr>
          <w:b/>
          <w:sz w:val="22"/>
          <w:szCs w:val="22"/>
        </w:rPr>
        <w:t xml:space="preserve">University </w:t>
      </w:r>
      <w:r w:rsidR="001B3CA7">
        <w:rPr>
          <w:b/>
          <w:sz w:val="22"/>
          <w:szCs w:val="22"/>
        </w:rPr>
        <w:t xml:space="preserve">of Worcester (UW) </w:t>
      </w:r>
      <w:r w:rsidRPr="00B16263">
        <w:rPr>
          <w:b/>
          <w:sz w:val="22"/>
          <w:szCs w:val="22"/>
        </w:rPr>
        <w:t xml:space="preserve">Head of Collaborative Programmes (HCP) </w:t>
      </w:r>
      <w:r w:rsidRPr="00B16263">
        <w:rPr>
          <w:sz w:val="22"/>
          <w:szCs w:val="22"/>
        </w:rPr>
        <w:t>has responsibility for the oversight and co-ordination of collaborative provision</w:t>
      </w:r>
      <w:r w:rsidR="00985D00">
        <w:rPr>
          <w:sz w:val="22"/>
          <w:szCs w:val="22"/>
        </w:rPr>
        <w:t xml:space="preserve">, </w:t>
      </w:r>
      <w:r w:rsidRPr="00B16263">
        <w:rPr>
          <w:sz w:val="22"/>
          <w:szCs w:val="22"/>
        </w:rPr>
        <w:t xml:space="preserve">the promotion of effective partnership working </w:t>
      </w:r>
      <w:r w:rsidR="00985D00">
        <w:rPr>
          <w:sz w:val="22"/>
          <w:szCs w:val="22"/>
        </w:rPr>
        <w:t xml:space="preserve">for collaborative arrangements </w:t>
      </w:r>
      <w:r w:rsidRPr="00B16263">
        <w:rPr>
          <w:sz w:val="22"/>
          <w:szCs w:val="22"/>
        </w:rPr>
        <w:t>across the University</w:t>
      </w:r>
      <w:r w:rsidR="00985D00">
        <w:rPr>
          <w:sz w:val="22"/>
          <w:szCs w:val="22"/>
        </w:rPr>
        <w:t>,</w:t>
      </w:r>
      <w:r w:rsidRPr="00B16263">
        <w:rPr>
          <w:sz w:val="22"/>
          <w:szCs w:val="22"/>
        </w:rPr>
        <w:t xml:space="preserve"> and acts as the senior contact person for staff managing collaborative programmes both in the University and partner organisations. </w:t>
      </w:r>
    </w:p>
    <w:p w14:paraId="076B93C4" w14:textId="77777777" w:rsidR="00B16263" w:rsidRDefault="00B16263" w:rsidP="00B16263">
      <w:pPr>
        <w:pStyle w:val="Default"/>
        <w:rPr>
          <w:sz w:val="22"/>
          <w:szCs w:val="22"/>
        </w:rPr>
      </w:pPr>
    </w:p>
    <w:p w14:paraId="45108358" w14:textId="77777777" w:rsidR="00B16263" w:rsidRDefault="00E36719" w:rsidP="006B3BF3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The HCP provides support and </w:t>
      </w:r>
      <w:r w:rsidR="00B16263" w:rsidRPr="00B16263">
        <w:rPr>
          <w:sz w:val="22"/>
          <w:szCs w:val="22"/>
        </w:rPr>
        <w:t>guidance and promotes good prac</w:t>
      </w:r>
      <w:r>
        <w:rPr>
          <w:sz w:val="22"/>
          <w:szCs w:val="22"/>
        </w:rPr>
        <w:t xml:space="preserve">tice in the design, development and approval </w:t>
      </w:r>
      <w:r w:rsidR="00B16263" w:rsidRPr="00B16263">
        <w:rPr>
          <w:sz w:val="22"/>
          <w:szCs w:val="22"/>
        </w:rPr>
        <w:t>of new courses and the delivery of HE in FE</w:t>
      </w:r>
      <w:r>
        <w:rPr>
          <w:sz w:val="22"/>
          <w:szCs w:val="22"/>
        </w:rPr>
        <w:t xml:space="preserve">. </w:t>
      </w:r>
      <w:r w:rsidR="00AD3541">
        <w:rPr>
          <w:sz w:val="22"/>
          <w:szCs w:val="22"/>
        </w:rPr>
        <w:t xml:space="preserve">In addition, the HCP </w:t>
      </w:r>
      <w:r w:rsidR="00B16263" w:rsidRPr="00B16263">
        <w:rPr>
          <w:sz w:val="22"/>
          <w:szCs w:val="22"/>
        </w:rPr>
        <w:t>ensures that progression opportunities are considered in the design, review and promotion of courses at UW and partner organisations.</w:t>
      </w:r>
    </w:p>
    <w:p w14:paraId="258BA934" w14:textId="77777777" w:rsidR="00AD3541" w:rsidRPr="00B16263" w:rsidRDefault="00AD3541" w:rsidP="00B16263">
      <w:pPr>
        <w:pStyle w:val="Default"/>
        <w:rPr>
          <w:sz w:val="22"/>
          <w:szCs w:val="22"/>
        </w:rPr>
      </w:pPr>
    </w:p>
    <w:p w14:paraId="79E6E862" w14:textId="77777777" w:rsidR="00B16263" w:rsidRPr="00B16263" w:rsidRDefault="00B16263" w:rsidP="006B3BF3">
      <w:pPr>
        <w:pStyle w:val="Default"/>
        <w:ind w:left="360"/>
        <w:rPr>
          <w:sz w:val="22"/>
          <w:szCs w:val="22"/>
        </w:rPr>
      </w:pPr>
      <w:r w:rsidRPr="00B16263">
        <w:rPr>
          <w:sz w:val="22"/>
          <w:szCs w:val="22"/>
        </w:rPr>
        <w:t xml:space="preserve">The Head of Collaborative Programmes (HCP) should be involved early in the approval cycle to ensure that </w:t>
      </w:r>
      <w:r w:rsidR="006A2DFD">
        <w:rPr>
          <w:sz w:val="22"/>
          <w:szCs w:val="22"/>
        </w:rPr>
        <w:t xml:space="preserve">the collaborative arrangements and clear operational processes, </w:t>
      </w:r>
      <w:r w:rsidRPr="00B16263">
        <w:rPr>
          <w:sz w:val="22"/>
          <w:szCs w:val="22"/>
        </w:rPr>
        <w:t xml:space="preserve">in line with UW regulations and quality </w:t>
      </w:r>
      <w:r w:rsidR="00B83FAC">
        <w:rPr>
          <w:sz w:val="22"/>
          <w:szCs w:val="22"/>
        </w:rPr>
        <w:t>systems</w:t>
      </w:r>
      <w:r w:rsidR="006A2DFD">
        <w:rPr>
          <w:sz w:val="22"/>
          <w:szCs w:val="22"/>
        </w:rPr>
        <w:t>,</w:t>
      </w:r>
      <w:r w:rsidRPr="00B16263">
        <w:rPr>
          <w:sz w:val="22"/>
          <w:szCs w:val="22"/>
        </w:rPr>
        <w:t xml:space="preserve"> have been agreed for all aspects of the student experience and course management</w:t>
      </w:r>
      <w:r w:rsidR="00076BDD">
        <w:rPr>
          <w:sz w:val="22"/>
          <w:szCs w:val="22"/>
        </w:rPr>
        <w:t>,</w:t>
      </w:r>
      <w:r w:rsidRPr="00B16263">
        <w:rPr>
          <w:sz w:val="22"/>
          <w:szCs w:val="22"/>
        </w:rPr>
        <w:t xml:space="preserve"> and will normally:</w:t>
      </w:r>
    </w:p>
    <w:p w14:paraId="2A6DF628" w14:textId="77777777" w:rsidR="00B16263" w:rsidRPr="00B16263" w:rsidRDefault="00B16263" w:rsidP="00B16263">
      <w:pPr>
        <w:pStyle w:val="Default"/>
        <w:rPr>
          <w:sz w:val="22"/>
          <w:szCs w:val="22"/>
        </w:rPr>
      </w:pPr>
    </w:p>
    <w:p w14:paraId="57892E6D" w14:textId="77777777" w:rsidR="00AD3541" w:rsidRDefault="00AD3541" w:rsidP="00B16263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Be consulted and advise </w:t>
      </w:r>
      <w:r w:rsidR="00B16263" w:rsidRPr="00AD3541">
        <w:rPr>
          <w:sz w:val="22"/>
          <w:szCs w:val="22"/>
        </w:rPr>
        <w:t xml:space="preserve">on aspects of the design and </w:t>
      </w:r>
      <w:r>
        <w:rPr>
          <w:sz w:val="22"/>
          <w:szCs w:val="22"/>
        </w:rPr>
        <w:t xml:space="preserve">operational </w:t>
      </w:r>
      <w:r w:rsidR="00B16263" w:rsidRPr="00AD3541">
        <w:rPr>
          <w:sz w:val="22"/>
          <w:szCs w:val="22"/>
        </w:rPr>
        <w:t>management of collaborative provision and relevant course documentation</w:t>
      </w:r>
      <w:r w:rsidR="00C5286D">
        <w:rPr>
          <w:sz w:val="22"/>
          <w:szCs w:val="22"/>
        </w:rPr>
        <w:t xml:space="preserve"> (in conjunction with </w:t>
      </w:r>
      <w:r w:rsidR="00653FD1">
        <w:rPr>
          <w:sz w:val="22"/>
          <w:szCs w:val="22"/>
        </w:rPr>
        <w:t xml:space="preserve">colleagues in </w:t>
      </w:r>
      <w:r w:rsidR="00C5286D">
        <w:rPr>
          <w:sz w:val="22"/>
          <w:szCs w:val="22"/>
        </w:rPr>
        <w:t>AQU</w:t>
      </w:r>
      <w:r w:rsidR="00653FD1">
        <w:rPr>
          <w:sz w:val="22"/>
          <w:szCs w:val="22"/>
        </w:rPr>
        <w:t xml:space="preserve"> with responsibility for collaborative arrangements</w:t>
      </w:r>
      <w:proofErr w:type="gramStart"/>
      <w:r w:rsidR="00C5286D">
        <w:rPr>
          <w:sz w:val="22"/>
          <w:szCs w:val="22"/>
        </w:rPr>
        <w:t>)</w:t>
      </w:r>
      <w:r w:rsidR="00B16263" w:rsidRPr="00AD3541">
        <w:rPr>
          <w:sz w:val="22"/>
          <w:szCs w:val="22"/>
        </w:rPr>
        <w:t>;</w:t>
      </w:r>
      <w:proofErr w:type="gramEnd"/>
      <w:r w:rsidRPr="00AD3541">
        <w:rPr>
          <w:sz w:val="22"/>
          <w:szCs w:val="22"/>
        </w:rPr>
        <w:t xml:space="preserve"> </w:t>
      </w:r>
    </w:p>
    <w:p w14:paraId="44C6F9E4" w14:textId="77777777" w:rsidR="00B16263" w:rsidRPr="00B16263" w:rsidRDefault="00B16263" w:rsidP="00B16263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B16263">
        <w:rPr>
          <w:sz w:val="22"/>
          <w:szCs w:val="22"/>
        </w:rPr>
        <w:t xml:space="preserve">Provide support for curriculum development during course </w:t>
      </w:r>
      <w:proofErr w:type="gramStart"/>
      <w:r w:rsidRPr="00B16263">
        <w:rPr>
          <w:sz w:val="22"/>
          <w:szCs w:val="22"/>
        </w:rPr>
        <w:t>approval;</w:t>
      </w:r>
      <w:proofErr w:type="gramEnd"/>
      <w:r w:rsidRPr="00B16263">
        <w:rPr>
          <w:sz w:val="22"/>
          <w:szCs w:val="22"/>
        </w:rPr>
        <w:t xml:space="preserve"> </w:t>
      </w:r>
    </w:p>
    <w:p w14:paraId="206D880E" w14:textId="77777777" w:rsidR="00B155AB" w:rsidRPr="00B16263" w:rsidRDefault="00B155AB" w:rsidP="00B9706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Pr="00B16263">
        <w:rPr>
          <w:sz w:val="22"/>
          <w:szCs w:val="22"/>
        </w:rPr>
        <w:t>nsure</w:t>
      </w:r>
      <w:r>
        <w:rPr>
          <w:sz w:val="22"/>
          <w:szCs w:val="22"/>
        </w:rPr>
        <w:t>,</w:t>
      </w:r>
      <w:r w:rsidRPr="00B16263">
        <w:rPr>
          <w:sz w:val="22"/>
          <w:szCs w:val="22"/>
        </w:rPr>
        <w:t xml:space="preserve"> in conjunction </w:t>
      </w:r>
      <w:r w:rsidRPr="00B155AB">
        <w:rPr>
          <w:sz w:val="22"/>
          <w:szCs w:val="22"/>
        </w:rPr>
        <w:t xml:space="preserve">with colleagues in AQU with responsibility for collaborative </w:t>
      </w:r>
      <w:r>
        <w:rPr>
          <w:sz w:val="22"/>
          <w:szCs w:val="22"/>
        </w:rPr>
        <w:t>provision</w:t>
      </w:r>
      <w:r w:rsidRPr="00B1626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16263">
        <w:rPr>
          <w:sz w:val="22"/>
          <w:szCs w:val="22"/>
        </w:rPr>
        <w:t xml:space="preserve">that the collaborative arrangements have been </w:t>
      </w:r>
      <w:proofErr w:type="gramStart"/>
      <w:r w:rsidRPr="00B16263">
        <w:rPr>
          <w:sz w:val="22"/>
          <w:szCs w:val="22"/>
        </w:rPr>
        <w:t>discussed</w:t>
      </w:r>
      <w:proofErr w:type="gramEnd"/>
      <w:r w:rsidRPr="00B16263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that sufficient </w:t>
      </w:r>
      <w:r w:rsidRPr="00B16263">
        <w:rPr>
          <w:sz w:val="22"/>
          <w:szCs w:val="22"/>
        </w:rPr>
        <w:t>evidence</w:t>
      </w:r>
      <w:r>
        <w:rPr>
          <w:sz w:val="22"/>
          <w:szCs w:val="22"/>
        </w:rPr>
        <w:t xml:space="preserve"> is provided</w:t>
      </w:r>
      <w:r w:rsidRPr="00B16263">
        <w:rPr>
          <w:sz w:val="22"/>
          <w:szCs w:val="22"/>
        </w:rPr>
        <w:t>, either through the Course Handbook</w:t>
      </w:r>
      <w:r w:rsidR="00AD132C">
        <w:rPr>
          <w:sz w:val="22"/>
          <w:szCs w:val="22"/>
        </w:rPr>
        <w:t xml:space="preserve"> and its annexes,</w:t>
      </w:r>
      <w:r w:rsidRPr="00B16263">
        <w:rPr>
          <w:sz w:val="22"/>
          <w:szCs w:val="22"/>
        </w:rPr>
        <w:t xml:space="preserve"> or by separate written confirmation, </w:t>
      </w:r>
      <w:r>
        <w:rPr>
          <w:sz w:val="22"/>
          <w:szCs w:val="22"/>
        </w:rPr>
        <w:t xml:space="preserve">to populate the draft Course Agreement </w:t>
      </w:r>
      <w:r w:rsidR="00B97069" w:rsidRPr="00B97069">
        <w:rPr>
          <w:sz w:val="22"/>
          <w:szCs w:val="22"/>
        </w:rPr>
        <w:t>which will normally be prepared for the final approval meeting</w:t>
      </w:r>
      <w:r>
        <w:rPr>
          <w:sz w:val="22"/>
          <w:szCs w:val="22"/>
        </w:rPr>
        <w:t>;</w:t>
      </w:r>
    </w:p>
    <w:p w14:paraId="25094DF7" w14:textId="77777777" w:rsidR="00B16263" w:rsidRPr="00B16263" w:rsidRDefault="00B16263" w:rsidP="00B16263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B16263">
        <w:rPr>
          <w:sz w:val="22"/>
          <w:szCs w:val="22"/>
        </w:rPr>
        <w:t>Attend the final approval meeting for collaborative course approvals</w:t>
      </w:r>
      <w:r w:rsidR="009007C3" w:rsidRPr="00B16263">
        <w:rPr>
          <w:sz w:val="22"/>
          <w:szCs w:val="22"/>
        </w:rPr>
        <w:t>.</w:t>
      </w:r>
      <w:r w:rsidRPr="00B16263">
        <w:rPr>
          <w:sz w:val="22"/>
          <w:szCs w:val="22"/>
        </w:rPr>
        <w:t xml:space="preserve">  </w:t>
      </w:r>
    </w:p>
    <w:p w14:paraId="7100BE24" w14:textId="77777777" w:rsidR="00722E45" w:rsidRPr="00CE2BAF" w:rsidRDefault="00722E45" w:rsidP="00722E45">
      <w:pPr>
        <w:pStyle w:val="Default"/>
        <w:rPr>
          <w:color w:val="4F6228"/>
          <w:sz w:val="22"/>
          <w:szCs w:val="22"/>
        </w:rPr>
      </w:pPr>
    </w:p>
    <w:p w14:paraId="448B5ADF" w14:textId="77777777" w:rsidR="00722E45" w:rsidRDefault="00434DF3" w:rsidP="006B3BF3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CC2119">
        <w:rPr>
          <w:b/>
          <w:color w:val="auto"/>
          <w:sz w:val="22"/>
          <w:szCs w:val="22"/>
        </w:rPr>
        <w:t xml:space="preserve">Evidence </w:t>
      </w:r>
      <w:r w:rsidR="006B3BF3" w:rsidRPr="00CC2119">
        <w:rPr>
          <w:b/>
          <w:color w:val="auto"/>
          <w:sz w:val="22"/>
          <w:szCs w:val="22"/>
        </w:rPr>
        <w:t xml:space="preserve">of </w:t>
      </w:r>
      <w:r w:rsidR="00F32AA2">
        <w:rPr>
          <w:b/>
          <w:color w:val="auto"/>
          <w:sz w:val="22"/>
          <w:szCs w:val="22"/>
        </w:rPr>
        <w:t xml:space="preserve">operational and management arrangements for </w:t>
      </w:r>
      <w:r w:rsidR="00F32AA2" w:rsidRPr="00CC2119">
        <w:rPr>
          <w:b/>
          <w:color w:val="auto"/>
          <w:sz w:val="22"/>
          <w:szCs w:val="22"/>
        </w:rPr>
        <w:t xml:space="preserve">collaborative </w:t>
      </w:r>
      <w:r w:rsidR="00F32AA2">
        <w:rPr>
          <w:b/>
          <w:color w:val="auto"/>
          <w:sz w:val="22"/>
          <w:szCs w:val="22"/>
        </w:rPr>
        <w:t>programmes</w:t>
      </w:r>
      <w:r w:rsidR="00F32AA2">
        <w:rPr>
          <w:color w:val="auto"/>
          <w:sz w:val="22"/>
          <w:szCs w:val="22"/>
        </w:rPr>
        <w:t xml:space="preserve"> are</w:t>
      </w:r>
      <w:r w:rsidR="006B3BF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provided through the normal documentation for course approval</w:t>
      </w:r>
      <w:r w:rsidR="006B3BF3">
        <w:rPr>
          <w:color w:val="auto"/>
          <w:sz w:val="22"/>
          <w:szCs w:val="22"/>
        </w:rPr>
        <w:t xml:space="preserve">.  </w:t>
      </w:r>
      <w:r w:rsidR="003B1F1B">
        <w:rPr>
          <w:color w:val="auto"/>
          <w:sz w:val="22"/>
          <w:szCs w:val="22"/>
        </w:rPr>
        <w:t>A</w:t>
      </w:r>
      <w:r w:rsidR="00B83FAC">
        <w:rPr>
          <w:color w:val="auto"/>
          <w:sz w:val="22"/>
          <w:szCs w:val="22"/>
        </w:rPr>
        <w:t>n</w:t>
      </w:r>
      <w:r w:rsidR="003B1F1B">
        <w:rPr>
          <w:color w:val="auto"/>
          <w:sz w:val="22"/>
          <w:szCs w:val="22"/>
        </w:rPr>
        <w:t xml:space="preserve"> </w:t>
      </w:r>
      <w:r w:rsidR="00985D00">
        <w:rPr>
          <w:color w:val="auto"/>
          <w:sz w:val="22"/>
          <w:szCs w:val="22"/>
        </w:rPr>
        <w:t xml:space="preserve">indicative </w:t>
      </w:r>
      <w:r w:rsidR="003B1F1B">
        <w:rPr>
          <w:color w:val="auto"/>
          <w:sz w:val="22"/>
          <w:szCs w:val="22"/>
        </w:rPr>
        <w:t>checklist of</w:t>
      </w:r>
      <w:r>
        <w:rPr>
          <w:color w:val="auto"/>
          <w:sz w:val="22"/>
          <w:szCs w:val="22"/>
        </w:rPr>
        <w:t xml:space="preserve"> specific aspects to consider when completing </w:t>
      </w:r>
      <w:r w:rsidR="00622F57">
        <w:rPr>
          <w:color w:val="auto"/>
          <w:sz w:val="22"/>
          <w:szCs w:val="22"/>
        </w:rPr>
        <w:t xml:space="preserve">course documentation </w:t>
      </w:r>
      <w:r w:rsidR="003B1F1B">
        <w:rPr>
          <w:color w:val="auto"/>
          <w:sz w:val="22"/>
          <w:szCs w:val="22"/>
        </w:rPr>
        <w:t>for collaborative provision is provided</w:t>
      </w:r>
      <w:r>
        <w:rPr>
          <w:color w:val="auto"/>
          <w:sz w:val="22"/>
          <w:szCs w:val="22"/>
        </w:rPr>
        <w:t xml:space="preserve"> below, including some </w:t>
      </w:r>
      <w:r w:rsidR="003B1F1B">
        <w:rPr>
          <w:color w:val="auto"/>
          <w:sz w:val="22"/>
          <w:szCs w:val="22"/>
        </w:rPr>
        <w:t xml:space="preserve">required </w:t>
      </w:r>
      <w:r>
        <w:rPr>
          <w:color w:val="auto"/>
          <w:sz w:val="22"/>
          <w:szCs w:val="22"/>
        </w:rPr>
        <w:t>additional information</w:t>
      </w:r>
      <w:r w:rsidR="00100222" w:rsidRPr="00100222">
        <w:rPr>
          <w:color w:val="auto"/>
          <w:sz w:val="22"/>
          <w:szCs w:val="22"/>
        </w:rPr>
        <w:t xml:space="preserve"> </w:t>
      </w:r>
      <w:r w:rsidR="00100222">
        <w:rPr>
          <w:color w:val="auto"/>
          <w:sz w:val="22"/>
          <w:szCs w:val="22"/>
        </w:rPr>
        <w:t>(this should be read in conjunction with the standard UW Course Handbook</w:t>
      </w:r>
      <w:r w:rsidR="00622F57">
        <w:rPr>
          <w:color w:val="auto"/>
          <w:sz w:val="22"/>
          <w:szCs w:val="22"/>
        </w:rPr>
        <w:t xml:space="preserve">/programme specification </w:t>
      </w:r>
      <w:r w:rsidR="00100222">
        <w:rPr>
          <w:color w:val="auto"/>
          <w:sz w:val="22"/>
          <w:szCs w:val="22"/>
        </w:rPr>
        <w:t>template/guidance)</w:t>
      </w:r>
      <w:r>
        <w:rPr>
          <w:color w:val="auto"/>
          <w:sz w:val="22"/>
          <w:szCs w:val="22"/>
        </w:rPr>
        <w:t xml:space="preserve">.  </w:t>
      </w:r>
      <w:r w:rsidRPr="009C4BBC">
        <w:rPr>
          <w:color w:val="auto"/>
          <w:sz w:val="22"/>
          <w:szCs w:val="22"/>
        </w:rPr>
        <w:t xml:space="preserve">In some instances, for example, where a partnership has more complex </w:t>
      </w:r>
      <w:r>
        <w:rPr>
          <w:color w:val="auto"/>
          <w:sz w:val="22"/>
          <w:szCs w:val="22"/>
        </w:rPr>
        <w:t>collaborative</w:t>
      </w:r>
      <w:r w:rsidRPr="009C4BBC">
        <w:rPr>
          <w:color w:val="auto"/>
          <w:sz w:val="22"/>
          <w:szCs w:val="22"/>
        </w:rPr>
        <w:t xml:space="preserve"> arrangements, it may be necessary to provide </w:t>
      </w:r>
      <w:r>
        <w:rPr>
          <w:color w:val="auto"/>
          <w:sz w:val="22"/>
          <w:szCs w:val="22"/>
        </w:rPr>
        <w:t>further explanation of these arrangements</w:t>
      </w:r>
      <w:r w:rsidRPr="009C4BBC">
        <w:rPr>
          <w:color w:val="auto"/>
          <w:sz w:val="22"/>
          <w:szCs w:val="22"/>
        </w:rPr>
        <w:t>. </w:t>
      </w:r>
    </w:p>
    <w:p w14:paraId="3129F727" w14:textId="77777777" w:rsidR="006B3BF3" w:rsidRDefault="006B3BF3" w:rsidP="006B3BF3">
      <w:pPr>
        <w:pStyle w:val="Default"/>
        <w:ind w:left="360"/>
        <w:rPr>
          <w:color w:val="auto"/>
          <w:sz w:val="22"/>
          <w:szCs w:val="22"/>
        </w:rPr>
      </w:pPr>
    </w:p>
    <w:p w14:paraId="31FB5A5A" w14:textId="77777777" w:rsidR="006B3BF3" w:rsidRPr="00CC2119" w:rsidRDefault="003B1F1B" w:rsidP="006B3BF3">
      <w:pPr>
        <w:pStyle w:val="Default"/>
        <w:numPr>
          <w:ilvl w:val="0"/>
          <w:numId w:val="8"/>
        </w:numPr>
        <w:rPr>
          <w:b/>
          <w:color w:val="auto"/>
          <w:sz w:val="22"/>
          <w:szCs w:val="22"/>
        </w:rPr>
      </w:pPr>
      <w:r w:rsidRPr="00CC2119">
        <w:rPr>
          <w:b/>
          <w:color w:val="auto"/>
          <w:sz w:val="22"/>
          <w:szCs w:val="22"/>
        </w:rPr>
        <w:t xml:space="preserve">Checklist for </w:t>
      </w:r>
      <w:r w:rsidR="001D568C">
        <w:rPr>
          <w:b/>
          <w:color w:val="auto"/>
          <w:sz w:val="22"/>
          <w:szCs w:val="22"/>
        </w:rPr>
        <w:t>Collaborative Course Approval</w:t>
      </w:r>
      <w:r w:rsidR="00CC2119" w:rsidRPr="00CC2119">
        <w:rPr>
          <w:b/>
          <w:color w:val="auto"/>
          <w:sz w:val="22"/>
          <w:szCs w:val="22"/>
        </w:rPr>
        <w:t>:</w:t>
      </w:r>
    </w:p>
    <w:p w14:paraId="12C5F79B" w14:textId="77777777" w:rsidR="00CC2119" w:rsidRDefault="00CC2119" w:rsidP="00CC2119">
      <w:pPr>
        <w:pStyle w:val="ListParagraph"/>
        <w:rPr>
          <w:sz w:val="22"/>
          <w:szCs w:val="22"/>
        </w:rPr>
      </w:pPr>
    </w:p>
    <w:p w14:paraId="4FB89EAB" w14:textId="77777777" w:rsidR="001D568C" w:rsidRDefault="001D568C" w:rsidP="00CC2119">
      <w:pPr>
        <w:pStyle w:val="Default"/>
        <w:numPr>
          <w:ilvl w:val="1"/>
          <w:numId w:val="8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Introduction</w:t>
      </w:r>
    </w:p>
    <w:p w14:paraId="78ABEA26" w14:textId="77777777" w:rsidR="001D568C" w:rsidRDefault="001D568C" w:rsidP="001D568C">
      <w:pPr>
        <w:pStyle w:val="Default"/>
        <w:ind w:left="792"/>
        <w:rPr>
          <w:b/>
          <w:color w:val="auto"/>
          <w:sz w:val="22"/>
          <w:szCs w:val="22"/>
        </w:rPr>
      </w:pPr>
    </w:p>
    <w:p w14:paraId="7642A073" w14:textId="77777777" w:rsidR="001D568C" w:rsidRDefault="001D568C" w:rsidP="001D568C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eastAsia="en-GB"/>
        </w:rPr>
      </w:pPr>
      <w:r w:rsidRPr="001D568C">
        <w:rPr>
          <w:rFonts w:cs="Arial"/>
          <w:sz w:val="22"/>
          <w:szCs w:val="22"/>
          <w:lang w:eastAsia="en-GB"/>
        </w:rPr>
        <w:t>Identity as a UW award, use of logo</w:t>
      </w:r>
      <w:r w:rsidR="00F32AA2">
        <w:rPr>
          <w:rFonts w:cs="Arial"/>
          <w:sz w:val="22"/>
          <w:szCs w:val="22"/>
          <w:lang w:eastAsia="en-GB"/>
        </w:rPr>
        <w:t>s</w:t>
      </w:r>
      <w:r w:rsidRPr="001D568C">
        <w:rPr>
          <w:rFonts w:cs="Arial"/>
          <w:sz w:val="22"/>
          <w:szCs w:val="22"/>
          <w:lang w:eastAsia="en-GB"/>
        </w:rPr>
        <w:t>/branding, introduction to handbook from</w:t>
      </w:r>
      <w:r w:rsidR="001B3CA7">
        <w:rPr>
          <w:rFonts w:cs="Arial"/>
          <w:sz w:val="22"/>
          <w:szCs w:val="22"/>
          <w:lang w:eastAsia="en-GB"/>
        </w:rPr>
        <w:t xml:space="preserve"> the UW host</w:t>
      </w:r>
      <w:r w:rsidR="00040369">
        <w:rPr>
          <w:rFonts w:cs="Arial"/>
          <w:sz w:val="22"/>
          <w:szCs w:val="22"/>
          <w:lang w:eastAsia="en-GB"/>
        </w:rPr>
        <w:t xml:space="preserve"> School</w:t>
      </w:r>
      <w:r w:rsidRPr="001D568C">
        <w:rPr>
          <w:rFonts w:cs="Arial"/>
          <w:sz w:val="22"/>
          <w:szCs w:val="22"/>
          <w:lang w:eastAsia="en-GB"/>
        </w:rPr>
        <w:t xml:space="preserve"> and partner organisation </w:t>
      </w:r>
    </w:p>
    <w:p w14:paraId="7512444D" w14:textId="77777777" w:rsidR="00557EC4" w:rsidRDefault="00557EC4" w:rsidP="00557EC4">
      <w:pPr>
        <w:pStyle w:val="ListParagraph"/>
        <w:ind w:left="1152"/>
        <w:rPr>
          <w:rFonts w:cs="Arial"/>
          <w:sz w:val="22"/>
          <w:szCs w:val="22"/>
          <w:lang w:eastAsia="en-GB"/>
        </w:rPr>
      </w:pPr>
    </w:p>
    <w:p w14:paraId="58D326CC" w14:textId="77777777" w:rsidR="00557EC4" w:rsidRDefault="00557EC4" w:rsidP="00557EC4">
      <w:pPr>
        <w:pStyle w:val="ListParagraph"/>
        <w:ind w:left="1152"/>
        <w:rPr>
          <w:rFonts w:cs="Arial"/>
          <w:sz w:val="22"/>
          <w:szCs w:val="22"/>
          <w:lang w:eastAsia="en-GB"/>
        </w:rPr>
      </w:pPr>
    </w:p>
    <w:p w14:paraId="37843E72" w14:textId="77777777" w:rsidR="00557EC4" w:rsidRPr="001D568C" w:rsidRDefault="00557EC4" w:rsidP="00557EC4">
      <w:pPr>
        <w:pStyle w:val="ListParagraph"/>
        <w:ind w:left="1152"/>
        <w:rPr>
          <w:rFonts w:cs="Arial"/>
          <w:sz w:val="22"/>
          <w:szCs w:val="22"/>
          <w:lang w:eastAsia="en-GB"/>
        </w:rPr>
      </w:pPr>
    </w:p>
    <w:p w14:paraId="675C6930" w14:textId="77777777" w:rsidR="001D568C" w:rsidRPr="001D568C" w:rsidRDefault="001D568C" w:rsidP="001D568C">
      <w:pPr>
        <w:pStyle w:val="Default"/>
        <w:ind w:left="1152"/>
        <w:rPr>
          <w:color w:val="auto"/>
          <w:sz w:val="22"/>
          <w:szCs w:val="22"/>
        </w:rPr>
      </w:pPr>
    </w:p>
    <w:p w14:paraId="5F3C451B" w14:textId="77777777" w:rsidR="00CC2119" w:rsidRDefault="00CC536F" w:rsidP="00CC2119">
      <w:pPr>
        <w:pStyle w:val="Default"/>
        <w:numPr>
          <w:ilvl w:val="1"/>
          <w:numId w:val="8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Course Team and </w:t>
      </w:r>
      <w:r w:rsidR="00CC2119" w:rsidRPr="00CC2119">
        <w:rPr>
          <w:b/>
          <w:color w:val="auto"/>
          <w:sz w:val="22"/>
          <w:szCs w:val="22"/>
        </w:rPr>
        <w:t xml:space="preserve">Staffing </w:t>
      </w:r>
    </w:p>
    <w:p w14:paraId="26340184" w14:textId="77777777" w:rsidR="00CC2119" w:rsidRDefault="00CC2119" w:rsidP="00CC2119">
      <w:pPr>
        <w:pStyle w:val="Default"/>
        <w:ind w:left="792"/>
        <w:rPr>
          <w:color w:val="auto"/>
          <w:sz w:val="22"/>
          <w:szCs w:val="22"/>
        </w:rPr>
      </w:pPr>
    </w:p>
    <w:p w14:paraId="342ADD3A" w14:textId="77777777" w:rsidR="00CC2119" w:rsidRDefault="00100222" w:rsidP="00100222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100222">
        <w:rPr>
          <w:color w:val="auto"/>
          <w:sz w:val="22"/>
          <w:szCs w:val="22"/>
        </w:rPr>
        <w:t xml:space="preserve">Relative responsibilities for the delivery of the course, e.g. solely taught by the partner or shared delivery with UW staff contributing to teaching and </w:t>
      </w:r>
      <w:proofErr w:type="gramStart"/>
      <w:r w:rsidRPr="00100222">
        <w:rPr>
          <w:color w:val="auto"/>
          <w:sz w:val="22"/>
          <w:szCs w:val="22"/>
        </w:rPr>
        <w:t>assessment</w:t>
      </w:r>
      <w:r>
        <w:rPr>
          <w:color w:val="auto"/>
          <w:sz w:val="22"/>
          <w:szCs w:val="22"/>
        </w:rPr>
        <w:t>;</w:t>
      </w:r>
      <w:proofErr w:type="gramEnd"/>
    </w:p>
    <w:p w14:paraId="6B75BD5B" w14:textId="77777777" w:rsidR="008964D9" w:rsidRPr="008964D9" w:rsidRDefault="008964D9" w:rsidP="008964D9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8964D9">
        <w:rPr>
          <w:color w:val="auto"/>
          <w:sz w:val="22"/>
          <w:szCs w:val="22"/>
        </w:rPr>
        <w:t xml:space="preserve">Details of current staffing structure, and their roles and responsibilities within the course team, including their contact </w:t>
      </w:r>
      <w:proofErr w:type="gramStart"/>
      <w:r w:rsidRPr="008964D9">
        <w:rPr>
          <w:color w:val="auto"/>
          <w:sz w:val="22"/>
          <w:szCs w:val="22"/>
        </w:rPr>
        <w:t>details</w:t>
      </w:r>
      <w:r>
        <w:rPr>
          <w:color w:val="auto"/>
          <w:sz w:val="22"/>
          <w:szCs w:val="22"/>
        </w:rPr>
        <w:t>;</w:t>
      </w:r>
      <w:proofErr w:type="gramEnd"/>
      <w:r w:rsidRPr="008964D9">
        <w:rPr>
          <w:color w:val="auto"/>
          <w:sz w:val="22"/>
          <w:szCs w:val="22"/>
        </w:rPr>
        <w:t xml:space="preserve"> </w:t>
      </w:r>
    </w:p>
    <w:p w14:paraId="1EEE2A3F" w14:textId="77777777" w:rsidR="008964D9" w:rsidRDefault="008964D9" w:rsidP="008964D9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8964D9">
        <w:rPr>
          <w:color w:val="auto"/>
          <w:sz w:val="22"/>
          <w:szCs w:val="22"/>
        </w:rPr>
        <w:t>Clear identification of a course leader as a key contact for the course (</w:t>
      </w:r>
      <w:r w:rsidR="001A1231">
        <w:rPr>
          <w:color w:val="auto"/>
          <w:sz w:val="22"/>
          <w:szCs w:val="22"/>
        </w:rPr>
        <w:t>who</w:t>
      </w:r>
      <w:r w:rsidRPr="008964D9">
        <w:rPr>
          <w:color w:val="auto"/>
          <w:sz w:val="22"/>
          <w:szCs w:val="22"/>
        </w:rPr>
        <w:t xml:space="preserve"> will fulfil the roles and responsibilities</w:t>
      </w:r>
      <w:r w:rsidR="001A1231">
        <w:rPr>
          <w:color w:val="auto"/>
          <w:sz w:val="22"/>
          <w:szCs w:val="22"/>
        </w:rPr>
        <w:t xml:space="preserve"> </w:t>
      </w:r>
      <w:r w:rsidRPr="008964D9">
        <w:rPr>
          <w:color w:val="auto"/>
          <w:sz w:val="22"/>
          <w:szCs w:val="22"/>
        </w:rPr>
        <w:t>of course leadership</w:t>
      </w:r>
      <w:r w:rsidR="001A1231">
        <w:rPr>
          <w:color w:val="auto"/>
          <w:sz w:val="22"/>
          <w:szCs w:val="22"/>
        </w:rPr>
        <w:t xml:space="preserve"> </w:t>
      </w:r>
      <w:r w:rsidR="00072E11">
        <w:rPr>
          <w:color w:val="auto"/>
          <w:sz w:val="22"/>
          <w:szCs w:val="22"/>
        </w:rPr>
        <w:t xml:space="preserve">identified in </w:t>
      </w:r>
      <w:r w:rsidR="001A1231">
        <w:rPr>
          <w:color w:val="auto"/>
          <w:sz w:val="22"/>
          <w:szCs w:val="22"/>
        </w:rPr>
        <w:t>the course agreement</w:t>
      </w:r>
      <w:proofErr w:type="gramStart"/>
      <w:r w:rsidRPr="008964D9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>;</w:t>
      </w:r>
      <w:proofErr w:type="gramEnd"/>
    </w:p>
    <w:p w14:paraId="31D772CD" w14:textId="77777777" w:rsidR="00FA50B4" w:rsidRPr="008964D9" w:rsidRDefault="00FA50B4" w:rsidP="00FA50B4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Identification of the individual/s responsible for the m</w:t>
      </w:r>
      <w:r w:rsidRPr="00FA50B4">
        <w:rPr>
          <w:color w:val="auto"/>
          <w:sz w:val="22"/>
          <w:szCs w:val="22"/>
        </w:rPr>
        <w:t>anagement and oversight of WBL/practice arrangements</w:t>
      </w:r>
      <w:r>
        <w:rPr>
          <w:color w:val="auto"/>
          <w:sz w:val="22"/>
          <w:szCs w:val="22"/>
        </w:rPr>
        <w:t xml:space="preserve"> (if applicable</w:t>
      </w:r>
      <w:proofErr w:type="gramStart"/>
      <w:r>
        <w:rPr>
          <w:color w:val="auto"/>
          <w:sz w:val="22"/>
          <w:szCs w:val="22"/>
        </w:rPr>
        <w:t>);</w:t>
      </w:r>
      <w:proofErr w:type="gramEnd"/>
    </w:p>
    <w:p w14:paraId="315BF9FD" w14:textId="77777777" w:rsidR="00100222" w:rsidRDefault="008964D9" w:rsidP="00100222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8964D9">
        <w:rPr>
          <w:color w:val="auto"/>
          <w:sz w:val="22"/>
          <w:szCs w:val="22"/>
        </w:rPr>
        <w:t xml:space="preserve">Identification of the UW Link Tutor and their contact details (and a student relevant description of their role </w:t>
      </w:r>
      <w:r w:rsidR="002A6F79">
        <w:rPr>
          <w:color w:val="auto"/>
          <w:sz w:val="22"/>
          <w:szCs w:val="22"/>
        </w:rPr>
        <w:t>related to</w:t>
      </w:r>
      <w:r w:rsidR="002A6F79" w:rsidRPr="008964D9">
        <w:rPr>
          <w:color w:val="auto"/>
          <w:sz w:val="22"/>
          <w:szCs w:val="22"/>
        </w:rPr>
        <w:t xml:space="preserve"> </w:t>
      </w:r>
      <w:r w:rsidRPr="008964D9">
        <w:rPr>
          <w:color w:val="auto"/>
          <w:sz w:val="22"/>
          <w:szCs w:val="22"/>
        </w:rPr>
        <w:t>the course</w:t>
      </w:r>
      <w:proofErr w:type="gramStart"/>
      <w:r w:rsidRPr="008964D9">
        <w:rPr>
          <w:color w:val="auto"/>
          <w:sz w:val="22"/>
          <w:szCs w:val="22"/>
        </w:rPr>
        <w:t>)</w:t>
      </w:r>
      <w:r w:rsidR="00FA50B4">
        <w:rPr>
          <w:color w:val="auto"/>
          <w:sz w:val="22"/>
          <w:szCs w:val="22"/>
        </w:rPr>
        <w:t>;</w:t>
      </w:r>
      <w:proofErr w:type="gramEnd"/>
    </w:p>
    <w:p w14:paraId="30923EBF" w14:textId="77777777" w:rsidR="00ED21E3" w:rsidRPr="00ED21E3" w:rsidRDefault="00ED21E3" w:rsidP="00ED21E3">
      <w:pPr>
        <w:pStyle w:val="ListParagraph"/>
        <w:numPr>
          <w:ilvl w:val="0"/>
          <w:numId w:val="9"/>
        </w:numPr>
        <w:rPr>
          <w:rFonts w:cs="Arial"/>
          <w:sz w:val="22"/>
          <w:szCs w:val="22"/>
          <w:lang w:eastAsia="en-GB"/>
        </w:rPr>
      </w:pPr>
      <w:r w:rsidRPr="00ED21E3">
        <w:rPr>
          <w:rFonts w:cs="Arial"/>
          <w:sz w:val="22"/>
          <w:szCs w:val="22"/>
          <w:lang w:eastAsia="en-GB"/>
        </w:rPr>
        <w:t xml:space="preserve">Arrangements concerning liaison with UW Registry Admissions and Student </w:t>
      </w:r>
      <w:proofErr w:type="gramStart"/>
      <w:r w:rsidRPr="00ED21E3">
        <w:rPr>
          <w:rFonts w:cs="Arial"/>
          <w:sz w:val="22"/>
          <w:szCs w:val="22"/>
          <w:lang w:eastAsia="en-GB"/>
        </w:rPr>
        <w:t>Records</w:t>
      </w:r>
      <w:r>
        <w:rPr>
          <w:rFonts w:cs="Arial"/>
          <w:sz w:val="22"/>
          <w:szCs w:val="22"/>
          <w:lang w:eastAsia="en-GB"/>
        </w:rPr>
        <w:t>;</w:t>
      </w:r>
      <w:proofErr w:type="gramEnd"/>
    </w:p>
    <w:p w14:paraId="757DE513" w14:textId="77777777" w:rsidR="00100222" w:rsidRDefault="00100222" w:rsidP="00100222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100222">
        <w:rPr>
          <w:color w:val="auto"/>
          <w:sz w:val="22"/>
          <w:szCs w:val="22"/>
        </w:rPr>
        <w:t xml:space="preserve">Details of </w:t>
      </w:r>
      <w:r w:rsidR="008964D9">
        <w:rPr>
          <w:color w:val="auto"/>
          <w:sz w:val="22"/>
          <w:szCs w:val="22"/>
        </w:rPr>
        <w:t xml:space="preserve">partner </w:t>
      </w:r>
      <w:r w:rsidRPr="00100222">
        <w:rPr>
          <w:color w:val="auto"/>
          <w:sz w:val="22"/>
          <w:szCs w:val="22"/>
        </w:rPr>
        <w:t xml:space="preserve">administrative and managerial staff (this also enables their approval as Registered </w:t>
      </w:r>
      <w:r w:rsidR="008964D9">
        <w:rPr>
          <w:color w:val="auto"/>
          <w:sz w:val="22"/>
          <w:szCs w:val="22"/>
        </w:rPr>
        <w:t>HE Managers/</w:t>
      </w:r>
      <w:r w:rsidRPr="00100222">
        <w:rPr>
          <w:color w:val="auto"/>
          <w:sz w:val="22"/>
          <w:szCs w:val="22"/>
        </w:rPr>
        <w:t>Administrators)</w:t>
      </w:r>
      <w:r w:rsidR="001C292D">
        <w:rPr>
          <w:color w:val="auto"/>
          <w:sz w:val="22"/>
          <w:szCs w:val="22"/>
        </w:rPr>
        <w:t>.</w:t>
      </w:r>
    </w:p>
    <w:p w14:paraId="79C9F2E0" w14:textId="77777777" w:rsidR="00631904" w:rsidRPr="00CC2119" w:rsidRDefault="00631904" w:rsidP="00CC536F">
      <w:pPr>
        <w:pStyle w:val="Default"/>
        <w:ind w:left="1152"/>
        <w:rPr>
          <w:color w:val="auto"/>
          <w:sz w:val="22"/>
          <w:szCs w:val="22"/>
        </w:rPr>
      </w:pPr>
    </w:p>
    <w:p w14:paraId="537767A5" w14:textId="77777777" w:rsidR="00CC536F" w:rsidRDefault="00B47BDF" w:rsidP="00CC536F">
      <w:pPr>
        <w:pStyle w:val="Default"/>
        <w:numPr>
          <w:ilvl w:val="1"/>
          <w:numId w:val="8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Assessment</w:t>
      </w:r>
    </w:p>
    <w:p w14:paraId="26D010EA" w14:textId="77777777" w:rsidR="00B47BDF" w:rsidRDefault="00B47BDF" w:rsidP="00B47BDF">
      <w:pPr>
        <w:pStyle w:val="Default"/>
        <w:ind w:left="792"/>
        <w:rPr>
          <w:b/>
          <w:color w:val="auto"/>
          <w:sz w:val="22"/>
          <w:szCs w:val="22"/>
        </w:rPr>
      </w:pPr>
    </w:p>
    <w:p w14:paraId="1725B109" w14:textId="77777777" w:rsidR="00FE0AD5" w:rsidRPr="00FE0AD5" w:rsidRDefault="00FE0AD5" w:rsidP="00364326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FE0AD5">
        <w:rPr>
          <w:color w:val="auto"/>
          <w:sz w:val="22"/>
          <w:szCs w:val="22"/>
        </w:rPr>
        <w:t>Management of assessment (</w:t>
      </w:r>
      <w:r w:rsidR="007C1C83">
        <w:rPr>
          <w:color w:val="auto"/>
          <w:sz w:val="22"/>
          <w:szCs w:val="22"/>
        </w:rPr>
        <w:t xml:space="preserve">a clear statement of </w:t>
      </w:r>
      <w:r w:rsidRPr="00FE0AD5">
        <w:rPr>
          <w:color w:val="auto"/>
          <w:sz w:val="22"/>
          <w:szCs w:val="22"/>
        </w:rPr>
        <w:t xml:space="preserve">arrangements for agreeing assessment items/briefs, </w:t>
      </w:r>
      <w:r w:rsidR="007C1C83">
        <w:rPr>
          <w:color w:val="auto"/>
          <w:sz w:val="22"/>
          <w:szCs w:val="22"/>
        </w:rPr>
        <w:t xml:space="preserve">policy/procedure </w:t>
      </w:r>
      <w:r w:rsidR="00364326">
        <w:rPr>
          <w:color w:val="auto"/>
          <w:sz w:val="22"/>
          <w:szCs w:val="22"/>
        </w:rPr>
        <w:t xml:space="preserve">for moderation of assessments and </w:t>
      </w:r>
      <w:r w:rsidRPr="00FE0AD5">
        <w:rPr>
          <w:color w:val="auto"/>
          <w:sz w:val="22"/>
          <w:szCs w:val="22"/>
        </w:rPr>
        <w:t xml:space="preserve">marking, </w:t>
      </w:r>
      <w:r w:rsidR="00D655D0">
        <w:rPr>
          <w:color w:val="auto"/>
          <w:sz w:val="22"/>
          <w:szCs w:val="22"/>
        </w:rPr>
        <w:t xml:space="preserve">internal and external </w:t>
      </w:r>
      <w:r w:rsidRPr="00FE0AD5">
        <w:rPr>
          <w:color w:val="auto"/>
          <w:sz w:val="22"/>
          <w:szCs w:val="22"/>
        </w:rPr>
        <w:t xml:space="preserve">moderation, </w:t>
      </w:r>
      <w:r>
        <w:rPr>
          <w:color w:val="auto"/>
          <w:sz w:val="22"/>
          <w:szCs w:val="22"/>
        </w:rPr>
        <w:t xml:space="preserve">standardisation when multiple partners </w:t>
      </w:r>
      <w:r w:rsidR="002A6F79">
        <w:rPr>
          <w:color w:val="auto"/>
          <w:sz w:val="22"/>
          <w:szCs w:val="22"/>
        </w:rPr>
        <w:t xml:space="preserve">are </w:t>
      </w:r>
      <w:r>
        <w:rPr>
          <w:color w:val="auto"/>
          <w:sz w:val="22"/>
          <w:szCs w:val="22"/>
        </w:rPr>
        <w:t>involved in delivery</w:t>
      </w:r>
      <w:r w:rsidR="00364326">
        <w:rPr>
          <w:color w:val="auto"/>
          <w:sz w:val="22"/>
          <w:szCs w:val="22"/>
        </w:rPr>
        <w:t>.  This may include</w:t>
      </w:r>
      <w:r w:rsidR="00364326" w:rsidRPr="00364326">
        <w:rPr>
          <w:color w:val="auto"/>
          <w:sz w:val="22"/>
          <w:szCs w:val="22"/>
        </w:rPr>
        <w:t xml:space="preserve"> involvement of UW staff as appropriate in early stages of new provision/partnership</w:t>
      </w:r>
      <w:proofErr w:type="gramStart"/>
      <w:r w:rsidRPr="00FE0AD5">
        <w:rPr>
          <w:color w:val="auto"/>
          <w:sz w:val="22"/>
          <w:szCs w:val="22"/>
        </w:rPr>
        <w:t>)</w:t>
      </w:r>
      <w:r w:rsidR="001643B4">
        <w:rPr>
          <w:color w:val="auto"/>
          <w:sz w:val="22"/>
          <w:szCs w:val="22"/>
        </w:rPr>
        <w:t>;</w:t>
      </w:r>
      <w:proofErr w:type="gramEnd"/>
    </w:p>
    <w:p w14:paraId="1C055973" w14:textId="77777777" w:rsidR="00FE0AD5" w:rsidRPr="00FE0AD5" w:rsidRDefault="00FE0AD5" w:rsidP="00FE0AD5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Arrangements for examination b</w:t>
      </w:r>
      <w:r w:rsidRPr="00FE0AD5">
        <w:rPr>
          <w:color w:val="auto"/>
          <w:sz w:val="22"/>
          <w:szCs w:val="22"/>
        </w:rPr>
        <w:t>oards</w:t>
      </w:r>
      <w:r w:rsidR="00364326">
        <w:rPr>
          <w:color w:val="auto"/>
          <w:sz w:val="22"/>
          <w:szCs w:val="22"/>
        </w:rPr>
        <w:t xml:space="preserve">, external examining </w:t>
      </w:r>
      <w:r w:rsidRPr="00FE0AD5">
        <w:rPr>
          <w:color w:val="auto"/>
          <w:sz w:val="22"/>
          <w:szCs w:val="22"/>
        </w:rPr>
        <w:t>and communication with External Examiners</w:t>
      </w:r>
      <w:r w:rsidR="001643B4">
        <w:rPr>
          <w:color w:val="auto"/>
          <w:sz w:val="22"/>
          <w:szCs w:val="22"/>
        </w:rPr>
        <w:t>.</w:t>
      </w:r>
    </w:p>
    <w:p w14:paraId="14454694" w14:textId="77777777" w:rsidR="00B47BDF" w:rsidRPr="00B47BDF" w:rsidRDefault="00B47BDF" w:rsidP="00557793">
      <w:pPr>
        <w:pStyle w:val="Default"/>
        <w:ind w:left="1152"/>
        <w:rPr>
          <w:color w:val="auto"/>
          <w:sz w:val="22"/>
          <w:szCs w:val="22"/>
        </w:rPr>
      </w:pPr>
    </w:p>
    <w:p w14:paraId="40B15F47" w14:textId="77777777" w:rsidR="00B47BDF" w:rsidRDefault="00600617" w:rsidP="00600617">
      <w:pPr>
        <w:pStyle w:val="Default"/>
        <w:numPr>
          <w:ilvl w:val="1"/>
          <w:numId w:val="8"/>
        </w:numPr>
        <w:rPr>
          <w:b/>
          <w:color w:val="auto"/>
          <w:sz w:val="22"/>
          <w:szCs w:val="22"/>
        </w:rPr>
      </w:pPr>
      <w:r w:rsidRPr="00600617">
        <w:rPr>
          <w:b/>
          <w:color w:val="auto"/>
          <w:sz w:val="22"/>
          <w:szCs w:val="22"/>
        </w:rPr>
        <w:t>UW Regulations</w:t>
      </w:r>
    </w:p>
    <w:p w14:paraId="6FA0F384" w14:textId="77777777" w:rsidR="00600617" w:rsidRDefault="00600617" w:rsidP="00D42B86">
      <w:pPr>
        <w:pStyle w:val="Default"/>
        <w:ind w:left="720"/>
        <w:rPr>
          <w:color w:val="auto"/>
          <w:sz w:val="22"/>
          <w:szCs w:val="22"/>
        </w:rPr>
      </w:pPr>
    </w:p>
    <w:p w14:paraId="0CAB0F29" w14:textId="77777777" w:rsidR="00D42B86" w:rsidRDefault="00D42B86" w:rsidP="00D42B86">
      <w:pPr>
        <w:pStyle w:val="Default"/>
        <w:ind w:left="720"/>
        <w:rPr>
          <w:color w:val="auto"/>
          <w:sz w:val="22"/>
          <w:szCs w:val="22"/>
        </w:rPr>
      </w:pPr>
      <w:r w:rsidRPr="001D21CB">
        <w:rPr>
          <w:color w:val="auto"/>
          <w:sz w:val="22"/>
          <w:szCs w:val="22"/>
        </w:rPr>
        <w:t xml:space="preserve">All UW awards are subject to UW regulations and the appropriate regulatory framework for the award.  </w:t>
      </w:r>
      <w:r w:rsidR="002A6F79" w:rsidRPr="001D21CB">
        <w:rPr>
          <w:color w:val="auto"/>
          <w:sz w:val="22"/>
          <w:szCs w:val="22"/>
        </w:rPr>
        <w:t>Any variations must be agreed and approved</w:t>
      </w:r>
      <w:r w:rsidR="001D21CB" w:rsidRPr="001D21CB">
        <w:rPr>
          <w:color w:val="auto"/>
          <w:sz w:val="22"/>
          <w:szCs w:val="22"/>
        </w:rPr>
        <w:t xml:space="preserve"> by the Academic Registrar and Director of Quality and Educational Development</w:t>
      </w:r>
      <w:r w:rsidR="00DF213A">
        <w:rPr>
          <w:color w:val="auto"/>
          <w:sz w:val="22"/>
          <w:szCs w:val="22"/>
        </w:rPr>
        <w:t xml:space="preserve"> as part of the approvals process</w:t>
      </w:r>
      <w:r w:rsidR="001D21CB" w:rsidRPr="001D21CB">
        <w:rPr>
          <w:color w:val="auto"/>
          <w:sz w:val="22"/>
          <w:szCs w:val="22"/>
        </w:rPr>
        <w:t xml:space="preserve">.  </w:t>
      </w:r>
      <w:r w:rsidRPr="001D21CB">
        <w:rPr>
          <w:color w:val="auto"/>
          <w:sz w:val="22"/>
          <w:szCs w:val="22"/>
        </w:rPr>
        <w:t xml:space="preserve">The only exception is in relation to </w:t>
      </w:r>
      <w:r w:rsidR="001D21CB" w:rsidRPr="001D21CB">
        <w:rPr>
          <w:color w:val="auto"/>
          <w:sz w:val="22"/>
          <w:szCs w:val="22"/>
        </w:rPr>
        <w:t>student complaints, where reference should be made to the partner organisation</w:t>
      </w:r>
      <w:r w:rsidR="001D21CB">
        <w:rPr>
          <w:color w:val="auto"/>
          <w:sz w:val="22"/>
          <w:szCs w:val="22"/>
        </w:rPr>
        <w:t>’</w:t>
      </w:r>
      <w:r w:rsidR="001D21CB" w:rsidRPr="001D21CB">
        <w:rPr>
          <w:color w:val="auto"/>
          <w:sz w:val="22"/>
          <w:szCs w:val="22"/>
        </w:rPr>
        <w:t xml:space="preserve">s complaints procedure in accordance with the partnership agreement.  </w:t>
      </w:r>
    </w:p>
    <w:p w14:paraId="19714348" w14:textId="77777777" w:rsidR="00C67B4D" w:rsidRPr="00600617" w:rsidRDefault="00C67B4D" w:rsidP="00D42B86">
      <w:pPr>
        <w:pStyle w:val="Default"/>
        <w:ind w:left="720"/>
        <w:rPr>
          <w:color w:val="auto"/>
          <w:sz w:val="22"/>
          <w:szCs w:val="22"/>
        </w:rPr>
      </w:pPr>
    </w:p>
    <w:p w14:paraId="292EDB27" w14:textId="77777777" w:rsidR="00C67B4D" w:rsidRDefault="00C67B4D" w:rsidP="00C67B4D">
      <w:pPr>
        <w:pStyle w:val="ListParagraph"/>
        <w:numPr>
          <w:ilvl w:val="1"/>
          <w:numId w:val="8"/>
        </w:numPr>
        <w:rPr>
          <w:rFonts w:cs="Arial"/>
          <w:b/>
          <w:sz w:val="22"/>
          <w:szCs w:val="22"/>
          <w:lang w:eastAsia="en-GB"/>
        </w:rPr>
      </w:pPr>
      <w:r w:rsidRPr="00C67B4D">
        <w:rPr>
          <w:rFonts w:cs="Arial"/>
          <w:b/>
          <w:sz w:val="22"/>
          <w:szCs w:val="22"/>
          <w:lang w:eastAsia="en-GB"/>
        </w:rPr>
        <w:t>Course Management and Student Representation</w:t>
      </w:r>
    </w:p>
    <w:p w14:paraId="059A3147" w14:textId="77777777" w:rsidR="00C67B4D" w:rsidRDefault="00C67B4D" w:rsidP="00C67B4D">
      <w:pPr>
        <w:pStyle w:val="ListParagraph"/>
        <w:ind w:left="792"/>
        <w:rPr>
          <w:rFonts w:cs="Arial"/>
          <w:sz w:val="22"/>
          <w:szCs w:val="22"/>
          <w:lang w:eastAsia="en-GB"/>
        </w:rPr>
      </w:pPr>
    </w:p>
    <w:p w14:paraId="07611690" w14:textId="77777777" w:rsidR="00347CFD" w:rsidRPr="00347CFD" w:rsidRDefault="00347CFD" w:rsidP="00347CFD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347CFD">
        <w:rPr>
          <w:rFonts w:cs="Arial"/>
          <w:sz w:val="22"/>
          <w:szCs w:val="22"/>
        </w:rPr>
        <w:t xml:space="preserve">Arrangements for admissions and </w:t>
      </w:r>
      <w:r w:rsidR="00507C94">
        <w:rPr>
          <w:rFonts w:cs="Arial"/>
          <w:sz w:val="22"/>
          <w:szCs w:val="22"/>
        </w:rPr>
        <w:t>RPL</w:t>
      </w:r>
      <w:r w:rsidRPr="00347CFD">
        <w:rPr>
          <w:rFonts w:cs="Arial"/>
          <w:sz w:val="22"/>
          <w:szCs w:val="22"/>
        </w:rPr>
        <w:t xml:space="preserve"> </w:t>
      </w:r>
      <w:proofErr w:type="gramStart"/>
      <w:r w:rsidRPr="00347CFD">
        <w:rPr>
          <w:rFonts w:cs="Arial"/>
          <w:sz w:val="22"/>
          <w:szCs w:val="22"/>
        </w:rPr>
        <w:t>procedures</w:t>
      </w:r>
      <w:r w:rsidR="001643B4">
        <w:rPr>
          <w:rFonts w:cs="Arial"/>
          <w:sz w:val="22"/>
          <w:szCs w:val="22"/>
        </w:rPr>
        <w:t>;</w:t>
      </w:r>
      <w:proofErr w:type="gramEnd"/>
    </w:p>
    <w:p w14:paraId="32AB3468" w14:textId="77777777" w:rsidR="009B0AF7" w:rsidRPr="009B0AF7" w:rsidRDefault="009B0AF7" w:rsidP="009B0AF7">
      <w:pPr>
        <w:numPr>
          <w:ilvl w:val="0"/>
          <w:numId w:val="15"/>
        </w:numPr>
        <w:rPr>
          <w:rFonts w:cs="Arial"/>
          <w:bCs/>
          <w:iCs/>
          <w:sz w:val="22"/>
          <w:szCs w:val="22"/>
          <w:lang w:val="en-US"/>
        </w:rPr>
      </w:pPr>
      <w:r w:rsidRPr="009B0AF7">
        <w:rPr>
          <w:rFonts w:cs="Arial"/>
          <w:sz w:val="22"/>
          <w:szCs w:val="22"/>
        </w:rPr>
        <w:t xml:space="preserve">Arrangements for induction as a UW student, including the involvement of the Link Tutor, UW </w:t>
      </w:r>
      <w:r w:rsidR="00B30B51">
        <w:rPr>
          <w:rFonts w:cs="Arial"/>
          <w:sz w:val="22"/>
          <w:szCs w:val="22"/>
        </w:rPr>
        <w:t>Library Services</w:t>
      </w:r>
      <w:r w:rsidRPr="009B0AF7">
        <w:rPr>
          <w:rFonts w:cs="Arial"/>
          <w:sz w:val="22"/>
          <w:szCs w:val="22"/>
        </w:rPr>
        <w:t xml:space="preserve">, UW Student Services, Registry Services and access to SOLE, progression opportunities </w:t>
      </w:r>
    </w:p>
    <w:p w14:paraId="6D06460E" w14:textId="77777777" w:rsidR="00C67B4D" w:rsidRPr="00C67B4D" w:rsidRDefault="00C67B4D" w:rsidP="009B0AF7">
      <w:pPr>
        <w:numPr>
          <w:ilvl w:val="0"/>
          <w:numId w:val="15"/>
        </w:numPr>
        <w:rPr>
          <w:rFonts w:cs="Arial"/>
          <w:bCs/>
          <w:iCs/>
          <w:sz w:val="22"/>
          <w:szCs w:val="22"/>
          <w:lang w:val="en-US"/>
        </w:rPr>
      </w:pPr>
      <w:r w:rsidRPr="00C67B4D">
        <w:rPr>
          <w:rFonts w:cs="Arial"/>
          <w:sz w:val="22"/>
          <w:szCs w:val="22"/>
        </w:rPr>
        <w:t>Arrangements for th</w:t>
      </w:r>
      <w:r>
        <w:rPr>
          <w:rFonts w:cs="Arial"/>
          <w:sz w:val="22"/>
          <w:szCs w:val="22"/>
        </w:rPr>
        <w:t xml:space="preserve">e Course Management Committee including dates, </w:t>
      </w:r>
      <w:r w:rsidRPr="00C67B4D">
        <w:rPr>
          <w:rFonts w:cs="Arial"/>
          <w:sz w:val="22"/>
          <w:szCs w:val="22"/>
        </w:rPr>
        <w:t xml:space="preserve">membership and terms of reference (including </w:t>
      </w:r>
      <w:r>
        <w:rPr>
          <w:rFonts w:cs="Arial"/>
          <w:sz w:val="22"/>
          <w:szCs w:val="22"/>
        </w:rPr>
        <w:t xml:space="preserve">the Link Tutor and </w:t>
      </w:r>
      <w:r w:rsidRPr="00C67B4D">
        <w:rPr>
          <w:rFonts w:cs="Arial"/>
          <w:sz w:val="22"/>
          <w:szCs w:val="22"/>
        </w:rPr>
        <w:t>S</w:t>
      </w:r>
      <w:r w:rsidR="00384A2F">
        <w:rPr>
          <w:rFonts w:cs="Arial"/>
          <w:sz w:val="22"/>
          <w:szCs w:val="22"/>
        </w:rPr>
        <w:t>tudent Representatives</w:t>
      </w:r>
      <w:proofErr w:type="gramStart"/>
      <w:r w:rsidRPr="00C67B4D">
        <w:rPr>
          <w:rFonts w:cs="Arial"/>
          <w:sz w:val="22"/>
          <w:szCs w:val="22"/>
        </w:rPr>
        <w:t>)</w:t>
      </w:r>
      <w:r w:rsidR="001643B4">
        <w:rPr>
          <w:rFonts w:cs="Arial"/>
          <w:sz w:val="22"/>
          <w:szCs w:val="22"/>
        </w:rPr>
        <w:t>;</w:t>
      </w:r>
      <w:proofErr w:type="gramEnd"/>
      <w:r w:rsidRPr="00C67B4D">
        <w:rPr>
          <w:rFonts w:cs="Arial"/>
          <w:sz w:val="22"/>
          <w:szCs w:val="22"/>
        </w:rPr>
        <w:t xml:space="preserve"> </w:t>
      </w:r>
    </w:p>
    <w:p w14:paraId="24BA83D8" w14:textId="77777777" w:rsidR="00C67B4D" w:rsidRPr="00C67B4D" w:rsidRDefault="00C67B4D" w:rsidP="00C67B4D">
      <w:pPr>
        <w:numPr>
          <w:ilvl w:val="0"/>
          <w:numId w:val="15"/>
        </w:numPr>
        <w:rPr>
          <w:rFonts w:cs="Arial"/>
          <w:bCs/>
          <w:iCs/>
          <w:sz w:val="22"/>
          <w:szCs w:val="22"/>
          <w:lang w:val="en-US"/>
        </w:rPr>
      </w:pPr>
      <w:r w:rsidRPr="00C67B4D">
        <w:rPr>
          <w:rFonts w:cs="Arial"/>
          <w:sz w:val="22"/>
          <w:szCs w:val="22"/>
        </w:rPr>
        <w:t>Selection and induction of S</w:t>
      </w:r>
      <w:r w:rsidR="00384A2F">
        <w:rPr>
          <w:rFonts w:cs="Arial"/>
          <w:sz w:val="22"/>
          <w:szCs w:val="22"/>
        </w:rPr>
        <w:t xml:space="preserve">tudent </w:t>
      </w:r>
      <w:proofErr w:type="gramStart"/>
      <w:r w:rsidR="00384A2F">
        <w:rPr>
          <w:rFonts w:cs="Arial"/>
          <w:sz w:val="22"/>
          <w:szCs w:val="22"/>
        </w:rPr>
        <w:t>Representatives</w:t>
      </w:r>
      <w:r w:rsidR="001643B4">
        <w:rPr>
          <w:rFonts w:cs="Arial"/>
          <w:sz w:val="22"/>
          <w:szCs w:val="22"/>
        </w:rPr>
        <w:t>;</w:t>
      </w:r>
      <w:proofErr w:type="gramEnd"/>
    </w:p>
    <w:p w14:paraId="2260B995" w14:textId="77777777" w:rsidR="00C67B4D" w:rsidRDefault="00C67B4D" w:rsidP="00C67B4D">
      <w:pPr>
        <w:numPr>
          <w:ilvl w:val="0"/>
          <w:numId w:val="15"/>
        </w:numPr>
        <w:jc w:val="both"/>
        <w:rPr>
          <w:rFonts w:cs="Arial"/>
          <w:bCs/>
          <w:iCs/>
          <w:sz w:val="22"/>
          <w:szCs w:val="22"/>
          <w:lang w:val="en-US"/>
        </w:rPr>
      </w:pPr>
      <w:r w:rsidRPr="00C67B4D">
        <w:rPr>
          <w:rFonts w:cs="Arial"/>
          <w:bCs/>
          <w:iCs/>
          <w:sz w:val="22"/>
          <w:szCs w:val="22"/>
          <w:lang w:val="en-US"/>
        </w:rPr>
        <w:t xml:space="preserve">Management and oversight of WBL/practice </w:t>
      </w:r>
      <w:proofErr w:type="gramStart"/>
      <w:r w:rsidRPr="00C67B4D">
        <w:rPr>
          <w:rFonts w:cs="Arial"/>
          <w:bCs/>
          <w:iCs/>
          <w:sz w:val="22"/>
          <w:szCs w:val="22"/>
          <w:lang w:val="en-US"/>
        </w:rPr>
        <w:t>arrangements</w:t>
      </w:r>
      <w:r w:rsidR="001643B4">
        <w:rPr>
          <w:rFonts w:cs="Arial"/>
          <w:bCs/>
          <w:iCs/>
          <w:sz w:val="22"/>
          <w:szCs w:val="22"/>
          <w:lang w:val="en-US"/>
        </w:rPr>
        <w:t>;</w:t>
      </w:r>
      <w:proofErr w:type="gramEnd"/>
    </w:p>
    <w:p w14:paraId="73BC40DF" w14:textId="77777777" w:rsidR="00557793" w:rsidRPr="00557793" w:rsidRDefault="00557793" w:rsidP="00557793">
      <w:pPr>
        <w:pStyle w:val="ListParagraph"/>
        <w:numPr>
          <w:ilvl w:val="0"/>
          <w:numId w:val="15"/>
        </w:numPr>
        <w:rPr>
          <w:rFonts w:cs="Arial"/>
          <w:bCs/>
          <w:iCs/>
          <w:sz w:val="22"/>
          <w:szCs w:val="22"/>
          <w:lang w:val="en-US"/>
        </w:rPr>
      </w:pPr>
      <w:r w:rsidRPr="00557793">
        <w:rPr>
          <w:rFonts w:cs="Arial"/>
          <w:bCs/>
          <w:iCs/>
          <w:sz w:val="22"/>
          <w:szCs w:val="22"/>
          <w:lang w:val="en-US"/>
        </w:rPr>
        <w:t>Arrangements regarding student feedback</w:t>
      </w:r>
      <w:r w:rsidR="00330A34">
        <w:rPr>
          <w:rFonts w:cs="Arial"/>
          <w:bCs/>
          <w:iCs/>
          <w:sz w:val="22"/>
          <w:szCs w:val="22"/>
          <w:lang w:val="en-US"/>
        </w:rPr>
        <w:t xml:space="preserve"> and module </w:t>
      </w:r>
      <w:proofErr w:type="gramStart"/>
      <w:r w:rsidR="00330A34">
        <w:rPr>
          <w:rFonts w:cs="Arial"/>
          <w:bCs/>
          <w:iCs/>
          <w:sz w:val="22"/>
          <w:szCs w:val="22"/>
          <w:lang w:val="en-US"/>
        </w:rPr>
        <w:t>evaluation;</w:t>
      </w:r>
      <w:proofErr w:type="gramEnd"/>
      <w:r w:rsidRPr="00557793">
        <w:rPr>
          <w:rFonts w:cs="Arial"/>
          <w:bCs/>
          <w:iCs/>
          <w:sz w:val="22"/>
          <w:szCs w:val="22"/>
          <w:lang w:val="en-US"/>
        </w:rPr>
        <w:t xml:space="preserve">  </w:t>
      </w:r>
    </w:p>
    <w:p w14:paraId="1811B09D" w14:textId="77777777" w:rsidR="00465EC1" w:rsidRPr="00465EC1" w:rsidRDefault="00C67B4D" w:rsidP="00465EC1">
      <w:pPr>
        <w:numPr>
          <w:ilvl w:val="0"/>
          <w:numId w:val="15"/>
        </w:numPr>
        <w:jc w:val="both"/>
        <w:rPr>
          <w:rFonts w:cs="Arial"/>
          <w:bCs/>
          <w:iCs/>
          <w:sz w:val="22"/>
          <w:szCs w:val="22"/>
          <w:lang w:val="en-US"/>
        </w:rPr>
      </w:pPr>
      <w:r w:rsidRPr="00347CFD">
        <w:rPr>
          <w:rFonts w:cs="Arial"/>
          <w:sz w:val="22"/>
          <w:szCs w:val="22"/>
        </w:rPr>
        <w:t xml:space="preserve">AER – who </w:t>
      </w:r>
      <w:r w:rsidR="00211044">
        <w:rPr>
          <w:rFonts w:cs="Arial"/>
          <w:sz w:val="22"/>
          <w:szCs w:val="22"/>
        </w:rPr>
        <w:t xml:space="preserve">is </w:t>
      </w:r>
      <w:r w:rsidRPr="00347CFD">
        <w:rPr>
          <w:rFonts w:cs="Arial"/>
          <w:sz w:val="22"/>
          <w:szCs w:val="22"/>
        </w:rPr>
        <w:t xml:space="preserve">responsible? (Normally </w:t>
      </w:r>
      <w:r w:rsidR="00164BA1">
        <w:rPr>
          <w:rFonts w:cs="Arial"/>
          <w:sz w:val="22"/>
          <w:szCs w:val="22"/>
        </w:rPr>
        <w:t xml:space="preserve">completed in line with UW guidance by </w:t>
      </w:r>
      <w:r w:rsidRPr="00347CFD">
        <w:rPr>
          <w:rFonts w:cs="Arial"/>
          <w:sz w:val="22"/>
          <w:szCs w:val="22"/>
        </w:rPr>
        <w:t xml:space="preserve">the </w:t>
      </w:r>
      <w:r w:rsidR="00164BA1">
        <w:rPr>
          <w:rFonts w:cs="Arial"/>
          <w:sz w:val="22"/>
          <w:szCs w:val="22"/>
        </w:rPr>
        <w:t xml:space="preserve">partner </w:t>
      </w:r>
      <w:r w:rsidRPr="00347CFD">
        <w:rPr>
          <w:rFonts w:cs="Arial"/>
          <w:sz w:val="22"/>
          <w:szCs w:val="22"/>
        </w:rPr>
        <w:t>course leader with support from the Link Tutor</w:t>
      </w:r>
      <w:proofErr w:type="gramStart"/>
      <w:r w:rsidRPr="00347CFD">
        <w:rPr>
          <w:rFonts w:cs="Arial"/>
          <w:sz w:val="22"/>
          <w:szCs w:val="22"/>
        </w:rPr>
        <w:t>)</w:t>
      </w:r>
      <w:r w:rsidR="001643B4">
        <w:rPr>
          <w:rFonts w:cs="Arial"/>
          <w:sz w:val="22"/>
          <w:szCs w:val="22"/>
        </w:rPr>
        <w:t>;</w:t>
      </w:r>
      <w:proofErr w:type="gramEnd"/>
    </w:p>
    <w:p w14:paraId="79B1256A" w14:textId="77777777" w:rsidR="00C67B4D" w:rsidRPr="00C67B4D" w:rsidRDefault="00C67B4D" w:rsidP="001A1231">
      <w:pPr>
        <w:numPr>
          <w:ilvl w:val="0"/>
          <w:numId w:val="15"/>
        </w:numPr>
        <w:rPr>
          <w:rFonts w:cs="Arial"/>
          <w:bCs/>
          <w:iCs/>
          <w:sz w:val="22"/>
          <w:szCs w:val="22"/>
          <w:lang w:val="en-US"/>
        </w:rPr>
      </w:pPr>
      <w:r w:rsidRPr="00C67B4D">
        <w:rPr>
          <w:rFonts w:cs="Arial"/>
          <w:bCs/>
          <w:iCs/>
          <w:sz w:val="22"/>
          <w:szCs w:val="22"/>
          <w:lang w:val="en-US"/>
        </w:rPr>
        <w:t xml:space="preserve">Arrangements requiring that prior to each running of the course, the </w:t>
      </w:r>
      <w:r w:rsidR="001A1231">
        <w:rPr>
          <w:rFonts w:cs="Arial"/>
          <w:bCs/>
          <w:iCs/>
          <w:sz w:val="22"/>
          <w:szCs w:val="22"/>
          <w:lang w:val="en-US"/>
        </w:rPr>
        <w:t>course</w:t>
      </w:r>
      <w:r w:rsidRPr="00C67B4D">
        <w:rPr>
          <w:rFonts w:cs="Arial"/>
          <w:bCs/>
          <w:iCs/>
          <w:sz w:val="22"/>
          <w:szCs w:val="22"/>
          <w:lang w:val="en-US"/>
        </w:rPr>
        <w:t xml:space="preserve"> leader must submit for agreement, to the Link Tutor at the University:</w:t>
      </w:r>
    </w:p>
    <w:p w14:paraId="1BF53E0F" w14:textId="77777777" w:rsidR="00C67B4D" w:rsidRPr="00C67B4D" w:rsidRDefault="00C67B4D" w:rsidP="001A1231">
      <w:pPr>
        <w:rPr>
          <w:rFonts w:cs="Arial"/>
          <w:bCs/>
          <w:iCs/>
          <w:sz w:val="22"/>
          <w:szCs w:val="22"/>
          <w:lang w:val="en-US"/>
        </w:rPr>
      </w:pPr>
      <w:r w:rsidRPr="00C67B4D">
        <w:rPr>
          <w:rFonts w:cs="Arial"/>
          <w:bCs/>
          <w:iCs/>
          <w:sz w:val="22"/>
          <w:szCs w:val="22"/>
          <w:lang w:val="en-US"/>
        </w:rPr>
        <w:tab/>
      </w:r>
      <w:r w:rsidRPr="00C67B4D">
        <w:rPr>
          <w:rFonts w:cs="Arial"/>
          <w:bCs/>
          <w:iCs/>
          <w:sz w:val="22"/>
          <w:szCs w:val="22"/>
          <w:lang w:val="en-US"/>
        </w:rPr>
        <w:tab/>
        <w:t>a)</w:t>
      </w:r>
      <w:r w:rsidRPr="00C67B4D">
        <w:rPr>
          <w:rFonts w:cs="Arial"/>
          <w:bCs/>
          <w:iCs/>
          <w:sz w:val="22"/>
          <w:szCs w:val="22"/>
          <w:lang w:val="en-US"/>
        </w:rPr>
        <w:tab/>
        <w:t xml:space="preserve">student </w:t>
      </w:r>
      <w:proofErr w:type="gramStart"/>
      <w:r w:rsidRPr="00C67B4D">
        <w:rPr>
          <w:rFonts w:cs="Arial"/>
          <w:bCs/>
          <w:iCs/>
          <w:sz w:val="22"/>
          <w:szCs w:val="22"/>
          <w:lang w:val="en-US"/>
        </w:rPr>
        <w:t>handbook;</w:t>
      </w:r>
      <w:proofErr w:type="gramEnd"/>
    </w:p>
    <w:p w14:paraId="2A5A8451" w14:textId="77777777" w:rsidR="001A1231" w:rsidRDefault="00C67B4D" w:rsidP="001A1231">
      <w:pPr>
        <w:rPr>
          <w:rFonts w:cs="Arial"/>
          <w:bCs/>
          <w:iCs/>
          <w:sz w:val="22"/>
          <w:szCs w:val="22"/>
          <w:lang w:val="en-US"/>
        </w:rPr>
      </w:pPr>
      <w:r w:rsidRPr="00C67B4D">
        <w:rPr>
          <w:rFonts w:cs="Arial"/>
          <w:bCs/>
          <w:iCs/>
          <w:sz w:val="22"/>
          <w:szCs w:val="22"/>
          <w:lang w:val="en-US"/>
        </w:rPr>
        <w:tab/>
      </w:r>
      <w:r w:rsidRPr="00C67B4D">
        <w:rPr>
          <w:rFonts w:cs="Arial"/>
          <w:bCs/>
          <w:iCs/>
          <w:sz w:val="22"/>
          <w:szCs w:val="22"/>
          <w:lang w:val="en-US"/>
        </w:rPr>
        <w:tab/>
        <w:t>b)</w:t>
      </w:r>
      <w:r w:rsidRPr="00C67B4D">
        <w:rPr>
          <w:rFonts w:cs="Arial"/>
          <w:bCs/>
          <w:iCs/>
          <w:sz w:val="22"/>
          <w:szCs w:val="22"/>
          <w:lang w:val="en-US"/>
        </w:rPr>
        <w:tab/>
        <w:t>timetable – that must identify who w</w:t>
      </w:r>
      <w:r w:rsidR="001A1231">
        <w:rPr>
          <w:rFonts w:cs="Arial"/>
          <w:bCs/>
          <w:iCs/>
          <w:sz w:val="22"/>
          <w:szCs w:val="22"/>
          <w:lang w:val="en-US"/>
        </w:rPr>
        <w:t>ill be undertaking the teaching</w:t>
      </w:r>
    </w:p>
    <w:p w14:paraId="6D92DA1C" w14:textId="77777777" w:rsidR="00C67B4D" w:rsidRPr="00C67B4D" w:rsidRDefault="001A1231" w:rsidP="001A1231">
      <w:pPr>
        <w:ind w:left="2160" w:hanging="720"/>
        <w:rPr>
          <w:rFonts w:cs="Arial"/>
          <w:bCs/>
          <w:iCs/>
          <w:sz w:val="22"/>
          <w:szCs w:val="22"/>
          <w:lang w:val="en-US"/>
        </w:rPr>
      </w:pPr>
      <w:r>
        <w:rPr>
          <w:rFonts w:cs="Arial"/>
          <w:bCs/>
          <w:iCs/>
          <w:sz w:val="22"/>
          <w:szCs w:val="22"/>
          <w:lang w:val="en-US"/>
        </w:rPr>
        <w:t>c)</w:t>
      </w:r>
      <w:r>
        <w:rPr>
          <w:rFonts w:cs="Arial"/>
          <w:bCs/>
          <w:iCs/>
          <w:sz w:val="22"/>
          <w:szCs w:val="22"/>
          <w:lang w:val="en-US"/>
        </w:rPr>
        <w:tab/>
      </w:r>
      <w:r w:rsidR="00C67B4D" w:rsidRPr="00C67B4D">
        <w:rPr>
          <w:rFonts w:cs="Arial"/>
          <w:bCs/>
          <w:iCs/>
          <w:sz w:val="22"/>
          <w:szCs w:val="22"/>
          <w:lang w:val="en-US"/>
        </w:rPr>
        <w:t>assessment information – including submission dates, assessment titles, marking criteria</w:t>
      </w:r>
      <w:r w:rsidR="00211044">
        <w:rPr>
          <w:rFonts w:cs="Arial"/>
          <w:bCs/>
          <w:iCs/>
          <w:sz w:val="22"/>
          <w:szCs w:val="22"/>
          <w:lang w:val="en-US"/>
        </w:rPr>
        <w:t>,</w:t>
      </w:r>
      <w:r w:rsidR="00C67B4D" w:rsidRPr="00C67B4D">
        <w:rPr>
          <w:rFonts w:cs="Arial"/>
          <w:bCs/>
          <w:iCs/>
          <w:sz w:val="22"/>
          <w:szCs w:val="22"/>
          <w:lang w:val="en-US"/>
        </w:rPr>
        <w:t xml:space="preserve"> </w:t>
      </w:r>
      <w:proofErr w:type="spellStart"/>
      <w:proofErr w:type="gramStart"/>
      <w:r w:rsidR="00C67B4D" w:rsidRPr="00C67B4D">
        <w:rPr>
          <w:rFonts w:cs="Arial"/>
          <w:bCs/>
          <w:iCs/>
          <w:sz w:val="22"/>
          <w:szCs w:val="22"/>
          <w:lang w:val="en-US"/>
        </w:rPr>
        <w:t>etc</w:t>
      </w:r>
      <w:proofErr w:type="spellEnd"/>
      <w:r w:rsidR="00C67B4D" w:rsidRPr="00C67B4D">
        <w:rPr>
          <w:rFonts w:cs="Arial"/>
          <w:bCs/>
          <w:iCs/>
          <w:sz w:val="22"/>
          <w:szCs w:val="22"/>
          <w:lang w:val="en-US"/>
        </w:rPr>
        <w:t>;</w:t>
      </w:r>
      <w:proofErr w:type="gramEnd"/>
    </w:p>
    <w:p w14:paraId="35C65756" w14:textId="77777777" w:rsidR="00C67B4D" w:rsidRPr="00C67B4D" w:rsidRDefault="00C67B4D" w:rsidP="001A1231">
      <w:pPr>
        <w:rPr>
          <w:rFonts w:cs="Arial"/>
          <w:bCs/>
          <w:iCs/>
          <w:sz w:val="22"/>
          <w:szCs w:val="22"/>
          <w:lang w:val="en-US"/>
        </w:rPr>
      </w:pPr>
      <w:r w:rsidRPr="00C67B4D">
        <w:rPr>
          <w:rFonts w:cs="Arial"/>
          <w:bCs/>
          <w:iCs/>
          <w:sz w:val="22"/>
          <w:szCs w:val="22"/>
          <w:lang w:val="en-US"/>
        </w:rPr>
        <w:lastRenderedPageBreak/>
        <w:tab/>
      </w:r>
      <w:r w:rsidRPr="00C67B4D">
        <w:rPr>
          <w:rFonts w:cs="Arial"/>
          <w:bCs/>
          <w:iCs/>
          <w:sz w:val="22"/>
          <w:szCs w:val="22"/>
          <w:lang w:val="en-US"/>
        </w:rPr>
        <w:tab/>
        <w:t>d)</w:t>
      </w:r>
      <w:r w:rsidRPr="00C67B4D">
        <w:rPr>
          <w:rFonts w:cs="Arial"/>
          <w:bCs/>
          <w:iCs/>
          <w:sz w:val="22"/>
          <w:szCs w:val="22"/>
          <w:lang w:val="en-US"/>
        </w:rPr>
        <w:tab/>
      </w:r>
      <w:r w:rsidR="00347CFD">
        <w:rPr>
          <w:rFonts w:cs="Arial"/>
          <w:bCs/>
          <w:iCs/>
          <w:sz w:val="22"/>
          <w:szCs w:val="22"/>
          <w:lang w:val="en-US"/>
        </w:rPr>
        <w:t xml:space="preserve">student feedback and </w:t>
      </w:r>
      <w:r w:rsidR="001A1231">
        <w:rPr>
          <w:rFonts w:cs="Arial"/>
          <w:bCs/>
          <w:iCs/>
          <w:sz w:val="22"/>
          <w:szCs w:val="22"/>
          <w:lang w:val="en-US"/>
        </w:rPr>
        <w:t xml:space="preserve">module </w:t>
      </w:r>
      <w:r w:rsidRPr="00C67B4D">
        <w:rPr>
          <w:rFonts w:cs="Arial"/>
          <w:bCs/>
          <w:iCs/>
          <w:sz w:val="22"/>
          <w:szCs w:val="22"/>
          <w:lang w:val="en-US"/>
        </w:rPr>
        <w:t>evaluation arrangements</w:t>
      </w:r>
    </w:p>
    <w:p w14:paraId="15115F21" w14:textId="77777777" w:rsidR="00C67B4D" w:rsidRPr="00C67B4D" w:rsidRDefault="00C67B4D" w:rsidP="001D568C">
      <w:pPr>
        <w:pStyle w:val="ListParagraph"/>
        <w:ind w:left="1152"/>
        <w:rPr>
          <w:rFonts w:cs="Arial"/>
          <w:sz w:val="22"/>
          <w:szCs w:val="22"/>
          <w:lang w:eastAsia="en-GB"/>
        </w:rPr>
      </w:pPr>
    </w:p>
    <w:p w14:paraId="567B2325" w14:textId="77777777" w:rsidR="00600617" w:rsidRDefault="00347CFD" w:rsidP="00600617">
      <w:pPr>
        <w:pStyle w:val="Default"/>
        <w:numPr>
          <w:ilvl w:val="1"/>
          <w:numId w:val="8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Resources – Physical and Information and Learning Services</w:t>
      </w:r>
    </w:p>
    <w:p w14:paraId="4D001815" w14:textId="77777777" w:rsidR="00347CFD" w:rsidRDefault="00347CFD" w:rsidP="00347CFD">
      <w:pPr>
        <w:pStyle w:val="Default"/>
        <w:ind w:left="792"/>
        <w:rPr>
          <w:color w:val="auto"/>
          <w:sz w:val="22"/>
          <w:szCs w:val="22"/>
        </w:rPr>
      </w:pPr>
    </w:p>
    <w:p w14:paraId="17A8CF13" w14:textId="77777777" w:rsidR="00D32215" w:rsidRPr="001C5FEA" w:rsidRDefault="00D32215" w:rsidP="00D32215">
      <w:pPr>
        <w:pStyle w:val="Default"/>
        <w:numPr>
          <w:ilvl w:val="0"/>
          <w:numId w:val="14"/>
        </w:numPr>
        <w:rPr>
          <w:color w:val="auto"/>
          <w:sz w:val="22"/>
          <w:szCs w:val="22"/>
        </w:rPr>
      </w:pPr>
      <w:r w:rsidRPr="001C5FEA">
        <w:rPr>
          <w:color w:val="auto"/>
          <w:sz w:val="22"/>
          <w:szCs w:val="22"/>
        </w:rPr>
        <w:t>A clear indication to students of the</w:t>
      </w:r>
      <w:r w:rsidR="00B30B51">
        <w:rPr>
          <w:color w:val="auto"/>
          <w:sz w:val="22"/>
          <w:szCs w:val="22"/>
        </w:rPr>
        <w:t xml:space="preserve"> Library Services and </w:t>
      </w:r>
      <w:r w:rsidRPr="001C5FEA">
        <w:rPr>
          <w:color w:val="auto"/>
          <w:sz w:val="22"/>
          <w:szCs w:val="22"/>
        </w:rPr>
        <w:t>resources available both at the partner organization and through the University</w:t>
      </w:r>
    </w:p>
    <w:p w14:paraId="421CBF87" w14:textId="77777777" w:rsidR="00347CFD" w:rsidRPr="00347CFD" w:rsidRDefault="00347CFD" w:rsidP="00347CFD">
      <w:pPr>
        <w:pStyle w:val="Default"/>
        <w:numPr>
          <w:ilvl w:val="0"/>
          <w:numId w:val="14"/>
        </w:numPr>
        <w:rPr>
          <w:color w:val="auto"/>
          <w:sz w:val="22"/>
          <w:szCs w:val="22"/>
        </w:rPr>
      </w:pPr>
      <w:r w:rsidRPr="00347CFD">
        <w:rPr>
          <w:color w:val="auto"/>
          <w:sz w:val="22"/>
          <w:szCs w:val="22"/>
        </w:rPr>
        <w:t xml:space="preserve">Campus/Delivery sites and their facilities (a site/resources check will be required for any new </w:t>
      </w:r>
      <w:r w:rsidR="00D32215">
        <w:rPr>
          <w:color w:val="auto"/>
          <w:sz w:val="22"/>
          <w:szCs w:val="22"/>
        </w:rPr>
        <w:t xml:space="preserve">or additional </w:t>
      </w:r>
      <w:r w:rsidRPr="00347CFD">
        <w:rPr>
          <w:color w:val="auto"/>
          <w:sz w:val="22"/>
          <w:szCs w:val="22"/>
        </w:rPr>
        <w:t>venue/delivery site)</w:t>
      </w:r>
    </w:p>
    <w:p w14:paraId="63EC7DA6" w14:textId="03819518" w:rsidR="00347CFD" w:rsidRPr="00347CFD" w:rsidRDefault="00347CFD" w:rsidP="00347CFD">
      <w:pPr>
        <w:pStyle w:val="Default"/>
        <w:numPr>
          <w:ilvl w:val="0"/>
          <w:numId w:val="14"/>
        </w:numPr>
        <w:rPr>
          <w:color w:val="auto"/>
          <w:sz w:val="22"/>
          <w:szCs w:val="22"/>
        </w:rPr>
      </w:pPr>
      <w:r w:rsidRPr="00347CFD">
        <w:rPr>
          <w:color w:val="auto"/>
          <w:sz w:val="22"/>
          <w:szCs w:val="22"/>
        </w:rPr>
        <w:t>Management and strategic development of physical and electronic learning support resources (</w:t>
      </w:r>
      <w:r w:rsidR="00D32215">
        <w:rPr>
          <w:color w:val="auto"/>
          <w:sz w:val="22"/>
          <w:szCs w:val="22"/>
        </w:rPr>
        <w:t>see the ‘</w:t>
      </w:r>
      <w:hyperlink r:id="rId10" w:history="1">
        <w:r w:rsidR="005D618E" w:rsidRPr="005D618E">
          <w:rPr>
            <w:rStyle w:val="Hyperlink"/>
            <w:sz w:val="22"/>
            <w:szCs w:val="22"/>
          </w:rPr>
          <w:t>CAP Form 7 Collaborative Resource Statement</w:t>
        </w:r>
      </w:hyperlink>
      <w:r w:rsidR="005D618E">
        <w:rPr>
          <w:color w:val="auto"/>
          <w:sz w:val="22"/>
          <w:szCs w:val="22"/>
        </w:rPr>
        <w:t>”</w:t>
      </w:r>
    </w:p>
    <w:p w14:paraId="029D40D2" w14:textId="5D3D0A3D" w:rsidR="00347CFD" w:rsidRDefault="003B0EAA" w:rsidP="001C5FEA">
      <w:pPr>
        <w:pStyle w:val="Default"/>
        <w:numPr>
          <w:ilvl w:val="0"/>
          <w:numId w:val="1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</w:t>
      </w:r>
      <w:r w:rsidR="00D32215">
        <w:rPr>
          <w:color w:val="auto"/>
          <w:sz w:val="22"/>
          <w:szCs w:val="22"/>
        </w:rPr>
        <w:t xml:space="preserve">signed </w:t>
      </w:r>
      <w:r>
        <w:rPr>
          <w:color w:val="auto"/>
          <w:sz w:val="22"/>
          <w:szCs w:val="22"/>
        </w:rPr>
        <w:t>Resource Statement</w:t>
      </w:r>
      <w:r w:rsidR="00D3221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from the Principal/Chief Executive of the partner organisation</w:t>
      </w:r>
      <w:r w:rsidR="00040369">
        <w:rPr>
          <w:color w:val="auto"/>
          <w:sz w:val="22"/>
          <w:szCs w:val="22"/>
        </w:rPr>
        <w:t xml:space="preserve"> and Head of School.</w:t>
      </w:r>
    </w:p>
    <w:p w14:paraId="65CC60E6" w14:textId="77777777" w:rsidR="00F945FA" w:rsidRPr="00347CFD" w:rsidRDefault="00F945FA" w:rsidP="00F945FA">
      <w:pPr>
        <w:pStyle w:val="Default"/>
        <w:ind w:left="1152"/>
        <w:rPr>
          <w:color w:val="auto"/>
          <w:sz w:val="22"/>
          <w:szCs w:val="22"/>
        </w:rPr>
      </w:pPr>
    </w:p>
    <w:p w14:paraId="6CAE42A1" w14:textId="77777777" w:rsidR="00347CFD" w:rsidRDefault="00F945FA" w:rsidP="00600617">
      <w:pPr>
        <w:pStyle w:val="Default"/>
        <w:numPr>
          <w:ilvl w:val="1"/>
          <w:numId w:val="8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Student Services</w:t>
      </w:r>
      <w:r w:rsidR="00164BA1">
        <w:rPr>
          <w:b/>
          <w:color w:val="auto"/>
          <w:sz w:val="22"/>
          <w:szCs w:val="22"/>
        </w:rPr>
        <w:t xml:space="preserve"> and Support</w:t>
      </w:r>
    </w:p>
    <w:p w14:paraId="743EFA9E" w14:textId="77777777" w:rsidR="00F945FA" w:rsidRDefault="00F945FA" w:rsidP="00F945FA">
      <w:pPr>
        <w:pStyle w:val="Default"/>
        <w:ind w:left="792"/>
        <w:rPr>
          <w:color w:val="auto"/>
          <w:sz w:val="22"/>
          <w:szCs w:val="22"/>
        </w:rPr>
      </w:pPr>
    </w:p>
    <w:p w14:paraId="2F218166" w14:textId="77777777" w:rsidR="00F945FA" w:rsidRPr="00F945FA" w:rsidRDefault="00F945FA" w:rsidP="00F945FA">
      <w:pPr>
        <w:pStyle w:val="Default"/>
        <w:numPr>
          <w:ilvl w:val="0"/>
          <w:numId w:val="16"/>
        </w:numPr>
        <w:rPr>
          <w:color w:val="auto"/>
          <w:sz w:val="22"/>
          <w:szCs w:val="22"/>
        </w:rPr>
      </w:pPr>
      <w:r w:rsidRPr="00F945FA">
        <w:rPr>
          <w:color w:val="auto"/>
          <w:sz w:val="22"/>
          <w:szCs w:val="22"/>
        </w:rPr>
        <w:t>Details of any central student support provision, include both partner and UW student services</w:t>
      </w:r>
      <w:r>
        <w:rPr>
          <w:color w:val="auto"/>
          <w:sz w:val="22"/>
          <w:szCs w:val="22"/>
        </w:rPr>
        <w:t xml:space="preserve"> and m</w:t>
      </w:r>
      <w:r w:rsidRPr="00F945FA">
        <w:rPr>
          <w:color w:val="auto"/>
          <w:sz w:val="22"/>
          <w:szCs w:val="22"/>
        </w:rPr>
        <w:t xml:space="preserve">ake clear what support services are available to students at various </w:t>
      </w:r>
      <w:proofErr w:type="gramStart"/>
      <w:r w:rsidRPr="00F945FA">
        <w:rPr>
          <w:color w:val="auto"/>
          <w:sz w:val="22"/>
          <w:szCs w:val="22"/>
        </w:rPr>
        <w:t>sites</w:t>
      </w:r>
      <w:r w:rsidR="00D734B8">
        <w:rPr>
          <w:color w:val="auto"/>
          <w:sz w:val="22"/>
          <w:szCs w:val="22"/>
        </w:rPr>
        <w:t>;</w:t>
      </w:r>
      <w:proofErr w:type="gramEnd"/>
    </w:p>
    <w:p w14:paraId="336E0597" w14:textId="77777777" w:rsidR="00F945FA" w:rsidRPr="00F945FA" w:rsidRDefault="00F945FA" w:rsidP="00F945FA">
      <w:pPr>
        <w:pStyle w:val="Default"/>
        <w:numPr>
          <w:ilvl w:val="0"/>
          <w:numId w:val="16"/>
        </w:numPr>
        <w:rPr>
          <w:color w:val="auto"/>
          <w:sz w:val="22"/>
          <w:szCs w:val="22"/>
        </w:rPr>
      </w:pPr>
      <w:r w:rsidRPr="00F945FA">
        <w:rPr>
          <w:color w:val="auto"/>
          <w:sz w:val="22"/>
          <w:szCs w:val="22"/>
        </w:rPr>
        <w:t xml:space="preserve">Arrangements for learning support of students, e.g. personal </w:t>
      </w:r>
      <w:r w:rsidR="00B30B51">
        <w:rPr>
          <w:color w:val="auto"/>
          <w:sz w:val="22"/>
          <w:szCs w:val="22"/>
        </w:rPr>
        <w:t xml:space="preserve">academic </w:t>
      </w:r>
      <w:r w:rsidRPr="00F945FA">
        <w:rPr>
          <w:color w:val="auto"/>
          <w:sz w:val="22"/>
          <w:szCs w:val="22"/>
        </w:rPr>
        <w:t xml:space="preserve">tutoring, WBL </w:t>
      </w:r>
      <w:proofErr w:type="gramStart"/>
      <w:r w:rsidRPr="00F945FA">
        <w:rPr>
          <w:color w:val="auto"/>
          <w:sz w:val="22"/>
          <w:szCs w:val="22"/>
        </w:rPr>
        <w:t>mentors</w:t>
      </w:r>
      <w:r w:rsidR="00D734B8">
        <w:rPr>
          <w:color w:val="auto"/>
          <w:sz w:val="22"/>
          <w:szCs w:val="22"/>
        </w:rPr>
        <w:t>;</w:t>
      </w:r>
      <w:proofErr w:type="gramEnd"/>
    </w:p>
    <w:p w14:paraId="1ED93C09" w14:textId="77777777" w:rsidR="00F945FA" w:rsidRPr="001D568C" w:rsidRDefault="00F945FA" w:rsidP="001D568C">
      <w:pPr>
        <w:pStyle w:val="Default"/>
        <w:numPr>
          <w:ilvl w:val="0"/>
          <w:numId w:val="16"/>
        </w:numPr>
        <w:rPr>
          <w:color w:val="auto"/>
          <w:sz w:val="22"/>
          <w:szCs w:val="22"/>
        </w:rPr>
      </w:pPr>
      <w:r w:rsidRPr="00F945FA">
        <w:rPr>
          <w:color w:val="auto"/>
          <w:sz w:val="22"/>
          <w:szCs w:val="22"/>
        </w:rPr>
        <w:t xml:space="preserve">Arrangements for support of students with specific educational needs, e.g. </w:t>
      </w:r>
      <w:r w:rsidR="00164BA1">
        <w:rPr>
          <w:color w:val="auto"/>
          <w:sz w:val="22"/>
          <w:szCs w:val="22"/>
        </w:rPr>
        <w:t xml:space="preserve">disability and </w:t>
      </w:r>
      <w:r w:rsidRPr="00F945FA">
        <w:rPr>
          <w:color w:val="auto"/>
          <w:sz w:val="22"/>
          <w:szCs w:val="22"/>
        </w:rPr>
        <w:t xml:space="preserve">dyslexia </w:t>
      </w:r>
      <w:r w:rsidR="001D568C">
        <w:rPr>
          <w:color w:val="auto"/>
          <w:sz w:val="22"/>
          <w:szCs w:val="22"/>
        </w:rPr>
        <w:t>services</w:t>
      </w:r>
    </w:p>
    <w:p w14:paraId="0EE0F85E" w14:textId="77777777" w:rsidR="00B47BDF" w:rsidRPr="00631904" w:rsidRDefault="00B47BDF" w:rsidP="00B47BDF">
      <w:pPr>
        <w:pStyle w:val="Default"/>
        <w:ind w:left="792"/>
        <w:rPr>
          <w:b/>
          <w:color w:val="auto"/>
          <w:sz w:val="22"/>
          <w:szCs w:val="22"/>
        </w:rPr>
      </w:pPr>
    </w:p>
    <w:p w14:paraId="67A4F27B" w14:textId="77777777" w:rsidR="00631904" w:rsidRDefault="00631904" w:rsidP="00CC2119">
      <w:pPr>
        <w:pStyle w:val="Default"/>
        <w:numPr>
          <w:ilvl w:val="1"/>
          <w:numId w:val="8"/>
        </w:numPr>
        <w:rPr>
          <w:b/>
          <w:color w:val="auto"/>
          <w:sz w:val="22"/>
          <w:szCs w:val="22"/>
        </w:rPr>
      </w:pPr>
      <w:r w:rsidRPr="00631904">
        <w:rPr>
          <w:b/>
          <w:color w:val="auto"/>
          <w:sz w:val="22"/>
          <w:szCs w:val="22"/>
        </w:rPr>
        <w:t>Addition</w:t>
      </w:r>
      <w:r>
        <w:rPr>
          <w:b/>
          <w:color w:val="auto"/>
          <w:sz w:val="22"/>
          <w:szCs w:val="22"/>
        </w:rPr>
        <w:t>al</w:t>
      </w:r>
      <w:r w:rsidRPr="00631904">
        <w:rPr>
          <w:b/>
          <w:color w:val="auto"/>
          <w:sz w:val="22"/>
          <w:szCs w:val="22"/>
        </w:rPr>
        <w:t xml:space="preserve"> Information Required for Collaborative Provision</w:t>
      </w:r>
      <w:r>
        <w:rPr>
          <w:b/>
          <w:color w:val="auto"/>
          <w:sz w:val="22"/>
          <w:szCs w:val="22"/>
        </w:rPr>
        <w:t>:</w:t>
      </w:r>
    </w:p>
    <w:p w14:paraId="3DF74BB3" w14:textId="77777777" w:rsidR="00631904" w:rsidRDefault="00631904" w:rsidP="00631904">
      <w:pPr>
        <w:pStyle w:val="ListParagraph"/>
        <w:rPr>
          <w:b/>
          <w:sz w:val="22"/>
          <w:szCs w:val="22"/>
        </w:rPr>
      </w:pPr>
    </w:p>
    <w:p w14:paraId="531FE4E6" w14:textId="77777777" w:rsidR="009B0AF7" w:rsidRPr="009B0AF7" w:rsidRDefault="009B0AF7" w:rsidP="009B0AF7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Additional </w:t>
      </w:r>
      <w:r w:rsidR="00CD34C1">
        <w:rPr>
          <w:color w:val="auto"/>
          <w:sz w:val="22"/>
          <w:szCs w:val="22"/>
        </w:rPr>
        <w:t xml:space="preserve">specific </w:t>
      </w:r>
      <w:r w:rsidRPr="009B0AF7">
        <w:rPr>
          <w:color w:val="auto"/>
          <w:sz w:val="22"/>
          <w:szCs w:val="22"/>
        </w:rPr>
        <w:t xml:space="preserve">collaborative management arrangements for the delivery of the course as a UW award. This may </w:t>
      </w:r>
      <w:proofErr w:type="gramStart"/>
      <w:r w:rsidRPr="009B0AF7">
        <w:rPr>
          <w:color w:val="auto"/>
          <w:sz w:val="22"/>
          <w:szCs w:val="22"/>
        </w:rPr>
        <w:t>include,</w:t>
      </w:r>
      <w:proofErr w:type="gramEnd"/>
      <w:r w:rsidRPr="009B0AF7">
        <w:rPr>
          <w:color w:val="auto"/>
          <w:sz w:val="22"/>
          <w:szCs w:val="22"/>
        </w:rPr>
        <w:t xml:space="preserve"> ‘franchise’ of an existing UW course (and what this means for operational arrangements, e.g. assurance that there is reasonable alignment in terms of contact hours and expectations and management of assessment), as a ‘validation’ of a new iteration of an award already delivered by other partners (requiring information on the development and quality assurance of multi-site delivery, i.e. ‘network’ course arrangements);</w:t>
      </w:r>
    </w:p>
    <w:p w14:paraId="099D215A" w14:textId="77777777" w:rsidR="004C5E4C" w:rsidRDefault="004C5E4C" w:rsidP="004C5E4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4C5E4C">
        <w:rPr>
          <w:color w:val="auto"/>
          <w:sz w:val="22"/>
          <w:szCs w:val="22"/>
        </w:rPr>
        <w:t xml:space="preserve">Partner Staff CVs for all staff involved in the delivery of the course (to enable the </w:t>
      </w:r>
      <w:r w:rsidR="00164BA1">
        <w:rPr>
          <w:color w:val="auto"/>
          <w:sz w:val="22"/>
          <w:szCs w:val="22"/>
        </w:rPr>
        <w:t xml:space="preserve">host </w:t>
      </w:r>
      <w:r w:rsidR="00040369">
        <w:rPr>
          <w:color w:val="auto"/>
          <w:sz w:val="22"/>
          <w:szCs w:val="22"/>
        </w:rPr>
        <w:t>School</w:t>
      </w:r>
      <w:r w:rsidRPr="004C5E4C">
        <w:rPr>
          <w:color w:val="auto"/>
          <w:sz w:val="22"/>
          <w:szCs w:val="22"/>
        </w:rPr>
        <w:t xml:space="preserve"> to approve staffing aligned to the course and </w:t>
      </w:r>
      <w:r w:rsidR="00164BA1">
        <w:rPr>
          <w:color w:val="auto"/>
          <w:sz w:val="22"/>
          <w:szCs w:val="22"/>
        </w:rPr>
        <w:t xml:space="preserve">enable </w:t>
      </w:r>
      <w:r w:rsidRPr="004C5E4C">
        <w:rPr>
          <w:color w:val="auto"/>
          <w:sz w:val="22"/>
          <w:szCs w:val="22"/>
        </w:rPr>
        <w:t>completion of the</w:t>
      </w:r>
      <w:r>
        <w:rPr>
          <w:color w:val="auto"/>
          <w:sz w:val="22"/>
          <w:szCs w:val="22"/>
        </w:rPr>
        <w:t xml:space="preserve">ir approval as </w:t>
      </w:r>
      <w:r w:rsidRPr="004C5E4C">
        <w:rPr>
          <w:color w:val="auto"/>
          <w:sz w:val="22"/>
          <w:szCs w:val="22"/>
        </w:rPr>
        <w:t>Registered Lecturer</w:t>
      </w:r>
      <w:r>
        <w:rPr>
          <w:color w:val="auto"/>
          <w:sz w:val="22"/>
          <w:szCs w:val="22"/>
        </w:rPr>
        <w:t>s</w:t>
      </w:r>
      <w:r>
        <w:rPr>
          <w:rStyle w:val="FootnoteReference"/>
          <w:color w:val="auto"/>
          <w:sz w:val="22"/>
          <w:szCs w:val="22"/>
        </w:rPr>
        <w:footnoteReference w:id="1"/>
      </w:r>
      <w:proofErr w:type="gramStart"/>
      <w:r w:rsidRPr="004C5E4C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>;</w:t>
      </w:r>
      <w:proofErr w:type="gramEnd"/>
    </w:p>
    <w:p w14:paraId="6C152C58" w14:textId="77777777" w:rsidR="009B0AF7" w:rsidRPr="009B0AF7" w:rsidRDefault="009B0AF7" w:rsidP="009B0AF7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9B0AF7">
        <w:rPr>
          <w:color w:val="auto"/>
          <w:sz w:val="22"/>
          <w:szCs w:val="22"/>
        </w:rPr>
        <w:t xml:space="preserve">Arrangements for the University annual sign off of the course </w:t>
      </w:r>
      <w:proofErr w:type="gramStart"/>
      <w:r w:rsidRPr="009B0AF7">
        <w:rPr>
          <w:color w:val="auto"/>
          <w:sz w:val="22"/>
          <w:szCs w:val="22"/>
        </w:rPr>
        <w:t>handbook;</w:t>
      </w:r>
      <w:proofErr w:type="gramEnd"/>
      <w:r w:rsidRPr="009B0AF7">
        <w:rPr>
          <w:color w:val="auto"/>
          <w:sz w:val="22"/>
          <w:szCs w:val="22"/>
        </w:rPr>
        <w:t xml:space="preserve"> </w:t>
      </w:r>
    </w:p>
    <w:p w14:paraId="03532415" w14:textId="79132BDB" w:rsidR="00631904" w:rsidRPr="00D734B8" w:rsidRDefault="00631904" w:rsidP="004C5E4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D734B8">
        <w:rPr>
          <w:color w:val="auto"/>
          <w:sz w:val="22"/>
          <w:szCs w:val="22"/>
        </w:rPr>
        <w:t xml:space="preserve">Proposals for </w:t>
      </w:r>
      <w:r w:rsidR="00164BA1" w:rsidRPr="00D734B8">
        <w:rPr>
          <w:color w:val="auto"/>
          <w:sz w:val="22"/>
          <w:szCs w:val="22"/>
        </w:rPr>
        <w:t xml:space="preserve">annual planning, </w:t>
      </w:r>
      <w:r w:rsidRPr="00D734B8">
        <w:rPr>
          <w:color w:val="auto"/>
          <w:sz w:val="22"/>
          <w:szCs w:val="22"/>
        </w:rPr>
        <w:t>staff meetings and discussion of other course management arrangements (</w:t>
      </w:r>
      <w:hyperlink r:id="rId11" w:history="1">
        <w:r w:rsidRPr="005D618E">
          <w:rPr>
            <w:rStyle w:val="Hyperlink"/>
            <w:sz w:val="22"/>
            <w:szCs w:val="22"/>
          </w:rPr>
          <w:t xml:space="preserve">see </w:t>
        </w:r>
        <w:r w:rsidR="005D618E">
          <w:rPr>
            <w:rStyle w:val="Hyperlink"/>
            <w:sz w:val="22"/>
            <w:szCs w:val="22"/>
          </w:rPr>
          <w:t xml:space="preserve">Annual </w:t>
        </w:r>
        <w:r w:rsidRPr="005D618E">
          <w:rPr>
            <w:rStyle w:val="Hyperlink"/>
            <w:sz w:val="22"/>
            <w:szCs w:val="22"/>
          </w:rPr>
          <w:t>Operational Checklist)</w:t>
        </w:r>
      </w:hyperlink>
      <w:r w:rsidR="00D734B8">
        <w:rPr>
          <w:color w:val="auto"/>
          <w:sz w:val="22"/>
          <w:szCs w:val="22"/>
        </w:rPr>
        <w:t>;</w:t>
      </w:r>
    </w:p>
    <w:p w14:paraId="279BF3B3" w14:textId="4A6670C1" w:rsidR="00631904" w:rsidRPr="00631904" w:rsidRDefault="00631904" w:rsidP="00631904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631904">
        <w:rPr>
          <w:color w:val="auto"/>
          <w:sz w:val="22"/>
          <w:szCs w:val="22"/>
        </w:rPr>
        <w:t xml:space="preserve">Staff development strategy including approach to scholarly activity and preparation and support of staff for delivery of HE </w:t>
      </w:r>
      <w:proofErr w:type="gramStart"/>
      <w:r w:rsidRPr="00631904">
        <w:rPr>
          <w:color w:val="auto"/>
          <w:sz w:val="22"/>
          <w:szCs w:val="22"/>
        </w:rPr>
        <w:t>provision</w:t>
      </w:r>
      <w:proofErr w:type="gramEnd"/>
      <w:r w:rsidRPr="00631904">
        <w:rPr>
          <w:color w:val="auto"/>
          <w:sz w:val="22"/>
          <w:szCs w:val="22"/>
        </w:rPr>
        <w:t xml:space="preserve"> and those relating to the particular course</w:t>
      </w:r>
      <w:r w:rsidR="00D734B8">
        <w:rPr>
          <w:color w:val="auto"/>
          <w:sz w:val="22"/>
          <w:szCs w:val="22"/>
        </w:rPr>
        <w:t xml:space="preserve"> (see the ‘</w:t>
      </w:r>
      <w:hyperlink r:id="rId12" w:history="1">
        <w:r w:rsidR="005D618E" w:rsidRPr="005D618E">
          <w:rPr>
            <w:rStyle w:val="Hyperlink"/>
            <w:sz w:val="22"/>
            <w:szCs w:val="22"/>
          </w:rPr>
          <w:t xml:space="preserve">CAP Form 7 Collaborative </w:t>
        </w:r>
        <w:r w:rsidR="00D734B8" w:rsidRPr="005D618E">
          <w:rPr>
            <w:rStyle w:val="Hyperlink"/>
            <w:sz w:val="22"/>
            <w:szCs w:val="22"/>
          </w:rPr>
          <w:t>Resource Statement</w:t>
        </w:r>
      </w:hyperlink>
      <w:r w:rsidR="00D734B8">
        <w:rPr>
          <w:color w:val="auto"/>
          <w:sz w:val="22"/>
          <w:szCs w:val="22"/>
        </w:rPr>
        <w:t>’);</w:t>
      </w:r>
    </w:p>
    <w:p w14:paraId="24E0EB1B" w14:textId="77777777" w:rsidR="00631904" w:rsidRPr="001643B4" w:rsidRDefault="001C5FEA" w:rsidP="00631904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643B4">
        <w:rPr>
          <w:color w:val="auto"/>
          <w:sz w:val="22"/>
          <w:szCs w:val="22"/>
        </w:rPr>
        <w:t>Marketing and recruitment strategy</w:t>
      </w:r>
      <w:r w:rsidR="001643B4" w:rsidRPr="001643B4">
        <w:rPr>
          <w:color w:val="auto"/>
          <w:sz w:val="22"/>
          <w:szCs w:val="22"/>
        </w:rPr>
        <w:t>, include course marketing material</w:t>
      </w:r>
      <w:r w:rsidR="001643B4">
        <w:rPr>
          <w:color w:val="auto"/>
          <w:sz w:val="22"/>
          <w:szCs w:val="22"/>
        </w:rPr>
        <w:t>.</w:t>
      </w:r>
      <w:r w:rsidR="001643B4" w:rsidRPr="001643B4">
        <w:rPr>
          <w:color w:val="auto"/>
          <w:sz w:val="22"/>
          <w:szCs w:val="22"/>
        </w:rPr>
        <w:t xml:space="preserve"> </w:t>
      </w:r>
      <w:r w:rsidRPr="001643B4">
        <w:rPr>
          <w:color w:val="auto"/>
          <w:sz w:val="22"/>
          <w:szCs w:val="22"/>
        </w:rPr>
        <w:t xml:space="preserve"> </w:t>
      </w:r>
    </w:p>
    <w:p w14:paraId="63A82374" w14:textId="77777777" w:rsidR="00F847B5" w:rsidRDefault="00F847B5" w:rsidP="007A005A">
      <w:pPr>
        <w:rPr>
          <w:rFonts w:cs="Arial"/>
          <w:i/>
          <w:sz w:val="22"/>
          <w:szCs w:val="22"/>
        </w:rPr>
      </w:pPr>
      <w:bookmarkStart w:id="0" w:name="_Toc198438587"/>
      <w:bookmarkStart w:id="1" w:name="_Toc198452237"/>
      <w:bookmarkStart w:id="2" w:name="_Toc198458931"/>
      <w:bookmarkStart w:id="3" w:name="_Toc198459025"/>
      <w:bookmarkStart w:id="4" w:name="_Toc198459069"/>
      <w:bookmarkStart w:id="5" w:name="_Toc198459892"/>
      <w:bookmarkEnd w:id="0"/>
      <w:bookmarkEnd w:id="1"/>
      <w:bookmarkEnd w:id="2"/>
      <w:bookmarkEnd w:id="3"/>
      <w:bookmarkEnd w:id="4"/>
      <w:bookmarkEnd w:id="5"/>
    </w:p>
    <w:p w14:paraId="4464FF45" w14:textId="77777777" w:rsidR="008866E1" w:rsidRDefault="008866E1" w:rsidP="00E45DB3">
      <w:pPr>
        <w:pStyle w:val="Default"/>
        <w:rPr>
          <w:color w:val="008000"/>
          <w:sz w:val="22"/>
          <w:szCs w:val="22"/>
        </w:rPr>
      </w:pPr>
    </w:p>
    <w:p w14:paraId="71A1C3A5" w14:textId="77777777" w:rsidR="00A01590" w:rsidRDefault="00A01590" w:rsidP="00A01590">
      <w:pPr>
        <w:pStyle w:val="Default"/>
        <w:rPr>
          <w:sz w:val="22"/>
          <w:szCs w:val="22"/>
        </w:rPr>
      </w:pPr>
    </w:p>
    <w:p w14:paraId="65DB7904" w14:textId="77777777" w:rsidR="000216CE" w:rsidRDefault="000216CE"/>
    <w:p w14:paraId="2FBE73D5" w14:textId="77777777" w:rsidR="000216CE" w:rsidRDefault="000216CE"/>
    <w:p w14:paraId="386E8301" w14:textId="77777777" w:rsidR="004C1555" w:rsidRDefault="004C1555"/>
    <w:p w14:paraId="02A481ED" w14:textId="77777777" w:rsidR="004C1555" w:rsidRDefault="004C1555"/>
    <w:sectPr w:rsidR="004C1555" w:rsidSect="006B3BF3">
      <w:headerReference w:type="default" r:id="rId13"/>
      <w:footerReference w:type="default" r:id="rId14"/>
      <w:pgSz w:w="11906" w:h="16838"/>
      <w:pgMar w:top="1440" w:right="1080" w:bottom="1440" w:left="108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810CA" w14:textId="77777777" w:rsidR="0014483F" w:rsidRDefault="0014483F" w:rsidP="006A7EEF">
      <w:r>
        <w:separator/>
      </w:r>
    </w:p>
  </w:endnote>
  <w:endnote w:type="continuationSeparator" w:id="0">
    <w:p w14:paraId="7E8AA19D" w14:textId="77777777" w:rsidR="0014483F" w:rsidRDefault="0014483F" w:rsidP="006A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9315" w14:textId="31EC1661" w:rsidR="00731D01" w:rsidRPr="00731D01" w:rsidRDefault="00290F92" w:rsidP="00731D01">
    <w:pPr>
      <w:pStyle w:val="Foo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January 2025</w:t>
    </w:r>
  </w:p>
  <w:p w14:paraId="029951F1" w14:textId="77777777" w:rsidR="001D568C" w:rsidRPr="001B3CA7" w:rsidRDefault="001D568C" w:rsidP="001B3CA7">
    <w:pPr>
      <w:pStyle w:val="Footer"/>
      <w:jc w:val="center"/>
      <w:rPr>
        <w:sz w:val="22"/>
        <w:szCs w:val="22"/>
      </w:rPr>
    </w:pPr>
    <w:r w:rsidRPr="001B3CA7">
      <w:rPr>
        <w:rStyle w:val="PageNumber"/>
        <w:sz w:val="22"/>
        <w:szCs w:val="22"/>
      </w:rPr>
      <w:fldChar w:fldCharType="begin"/>
    </w:r>
    <w:r w:rsidRPr="001B3CA7">
      <w:rPr>
        <w:rStyle w:val="PageNumber"/>
        <w:sz w:val="22"/>
        <w:szCs w:val="22"/>
      </w:rPr>
      <w:instrText xml:space="preserve"> PAGE </w:instrText>
    </w:r>
    <w:r w:rsidRPr="001B3CA7">
      <w:rPr>
        <w:rStyle w:val="PageNumber"/>
        <w:sz w:val="22"/>
        <w:szCs w:val="22"/>
      </w:rPr>
      <w:fldChar w:fldCharType="separate"/>
    </w:r>
    <w:r w:rsidR="00666AD6">
      <w:rPr>
        <w:rStyle w:val="PageNumber"/>
        <w:noProof/>
        <w:sz w:val="22"/>
        <w:szCs w:val="22"/>
      </w:rPr>
      <w:t>3</w:t>
    </w:r>
    <w:r w:rsidRPr="001B3CA7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7ED08" w14:textId="77777777" w:rsidR="0014483F" w:rsidRDefault="0014483F" w:rsidP="006A7EEF">
      <w:r>
        <w:separator/>
      </w:r>
    </w:p>
  </w:footnote>
  <w:footnote w:type="continuationSeparator" w:id="0">
    <w:p w14:paraId="151CE327" w14:textId="77777777" w:rsidR="0014483F" w:rsidRDefault="0014483F" w:rsidP="006A7EEF">
      <w:r>
        <w:continuationSeparator/>
      </w:r>
    </w:p>
  </w:footnote>
  <w:footnote w:id="1">
    <w:p w14:paraId="48743B64" w14:textId="77777777" w:rsidR="001D568C" w:rsidRDefault="001D568C">
      <w:pPr>
        <w:pStyle w:val="FootnoteText"/>
      </w:pPr>
      <w:r>
        <w:rPr>
          <w:rStyle w:val="FootnoteReference"/>
        </w:rPr>
        <w:footnoteRef/>
      </w:r>
      <w:r>
        <w:t xml:space="preserve"> Note, partner staff identified in the course team during the approval process and whose CVs are submitted at this point do not have to complete the Registered Lecturer Approval Forms. </w:t>
      </w:r>
    </w:p>
    <w:p w14:paraId="2E1733DC" w14:textId="77777777" w:rsidR="00D10095" w:rsidRDefault="00D10095">
      <w:pPr>
        <w:pStyle w:val="FootnoteText"/>
      </w:pPr>
    </w:p>
    <w:p w14:paraId="4B2D522B" w14:textId="77777777" w:rsidR="00D10095" w:rsidRDefault="00D1009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7BA1" w14:textId="77777777" w:rsidR="00557EC4" w:rsidRDefault="00557EC4" w:rsidP="00557EC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5EB6"/>
    <w:multiLevelType w:val="hybridMultilevel"/>
    <w:tmpl w:val="51C466EA"/>
    <w:lvl w:ilvl="0" w:tplc="402EA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B4910"/>
    <w:multiLevelType w:val="hybridMultilevel"/>
    <w:tmpl w:val="3F7872C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1B54FDB"/>
    <w:multiLevelType w:val="hybridMultilevel"/>
    <w:tmpl w:val="94761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4BF"/>
    <w:multiLevelType w:val="hybridMultilevel"/>
    <w:tmpl w:val="FD24D7B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93E5DD7"/>
    <w:multiLevelType w:val="multilevel"/>
    <w:tmpl w:val="C3F6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7D1D5B"/>
    <w:multiLevelType w:val="hybridMultilevel"/>
    <w:tmpl w:val="AC92DF4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6F5193A"/>
    <w:multiLevelType w:val="hybridMultilevel"/>
    <w:tmpl w:val="062639EE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F457658"/>
    <w:multiLevelType w:val="hybridMultilevel"/>
    <w:tmpl w:val="25A0EDA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445447D"/>
    <w:multiLevelType w:val="hybridMultilevel"/>
    <w:tmpl w:val="949221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C45064"/>
    <w:multiLevelType w:val="hybridMultilevel"/>
    <w:tmpl w:val="B2F6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F2D62"/>
    <w:multiLevelType w:val="hybridMultilevel"/>
    <w:tmpl w:val="9AF2B8D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3B867D0"/>
    <w:multiLevelType w:val="hybridMultilevel"/>
    <w:tmpl w:val="DE3C658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8391248"/>
    <w:multiLevelType w:val="hybridMultilevel"/>
    <w:tmpl w:val="04DE07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CD0695"/>
    <w:multiLevelType w:val="hybridMultilevel"/>
    <w:tmpl w:val="702E0E1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3566EAB"/>
    <w:multiLevelType w:val="multilevel"/>
    <w:tmpl w:val="B47A4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D3DDB"/>
    <w:multiLevelType w:val="hybridMultilevel"/>
    <w:tmpl w:val="581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76666"/>
    <w:multiLevelType w:val="hybridMultilevel"/>
    <w:tmpl w:val="4E2A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96286">
    <w:abstractNumId w:val="0"/>
  </w:num>
  <w:num w:numId="2" w16cid:durableId="1051492166">
    <w:abstractNumId w:val="15"/>
  </w:num>
  <w:num w:numId="3" w16cid:durableId="1853520701">
    <w:abstractNumId w:val="9"/>
  </w:num>
  <w:num w:numId="4" w16cid:durableId="1966278614">
    <w:abstractNumId w:val="16"/>
  </w:num>
  <w:num w:numId="5" w16cid:durableId="746463181">
    <w:abstractNumId w:val="14"/>
  </w:num>
  <w:num w:numId="6" w16cid:durableId="1959144687">
    <w:abstractNumId w:val="2"/>
  </w:num>
  <w:num w:numId="7" w16cid:durableId="2046446843">
    <w:abstractNumId w:val="12"/>
  </w:num>
  <w:num w:numId="8" w16cid:durableId="1479414376">
    <w:abstractNumId w:val="4"/>
  </w:num>
  <w:num w:numId="9" w16cid:durableId="1087580797">
    <w:abstractNumId w:val="6"/>
  </w:num>
  <w:num w:numId="10" w16cid:durableId="1792553252">
    <w:abstractNumId w:val="11"/>
  </w:num>
  <w:num w:numId="11" w16cid:durableId="473766332">
    <w:abstractNumId w:val="10"/>
  </w:num>
  <w:num w:numId="12" w16cid:durableId="1640695021">
    <w:abstractNumId w:val="5"/>
  </w:num>
  <w:num w:numId="13" w16cid:durableId="838547269">
    <w:abstractNumId w:val="1"/>
  </w:num>
  <w:num w:numId="14" w16cid:durableId="1788547735">
    <w:abstractNumId w:val="7"/>
  </w:num>
  <w:num w:numId="15" w16cid:durableId="1112363087">
    <w:abstractNumId w:val="8"/>
  </w:num>
  <w:num w:numId="16" w16cid:durableId="984430901">
    <w:abstractNumId w:val="3"/>
  </w:num>
  <w:num w:numId="17" w16cid:durableId="231003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90"/>
    <w:rsid w:val="000216CE"/>
    <w:rsid w:val="00040369"/>
    <w:rsid w:val="00061539"/>
    <w:rsid w:val="000652F7"/>
    <w:rsid w:val="00072E11"/>
    <w:rsid w:val="000759EB"/>
    <w:rsid w:val="00076BDD"/>
    <w:rsid w:val="000815A6"/>
    <w:rsid w:val="000922EE"/>
    <w:rsid w:val="000A2ED8"/>
    <w:rsid w:val="000D7745"/>
    <w:rsid w:val="00100222"/>
    <w:rsid w:val="0014483F"/>
    <w:rsid w:val="001643B4"/>
    <w:rsid w:val="00164BA1"/>
    <w:rsid w:val="00176D6F"/>
    <w:rsid w:val="001A1231"/>
    <w:rsid w:val="001A1802"/>
    <w:rsid w:val="001B3CA7"/>
    <w:rsid w:val="001C292D"/>
    <w:rsid w:val="001C5FEA"/>
    <w:rsid w:val="001D21CB"/>
    <w:rsid w:val="001D568C"/>
    <w:rsid w:val="00211044"/>
    <w:rsid w:val="00290F92"/>
    <w:rsid w:val="002A6F79"/>
    <w:rsid w:val="002B4608"/>
    <w:rsid w:val="002B7193"/>
    <w:rsid w:val="002D2CBF"/>
    <w:rsid w:val="002F0E5B"/>
    <w:rsid w:val="00311EBD"/>
    <w:rsid w:val="00330A34"/>
    <w:rsid w:val="00342FBF"/>
    <w:rsid w:val="00347CFD"/>
    <w:rsid w:val="0036370C"/>
    <w:rsid w:val="00364326"/>
    <w:rsid w:val="00381619"/>
    <w:rsid w:val="00381960"/>
    <w:rsid w:val="00384415"/>
    <w:rsid w:val="00384A2F"/>
    <w:rsid w:val="00387504"/>
    <w:rsid w:val="003B0EAA"/>
    <w:rsid w:val="003B1F1B"/>
    <w:rsid w:val="003D4338"/>
    <w:rsid w:val="003F0311"/>
    <w:rsid w:val="0040423A"/>
    <w:rsid w:val="00434DF3"/>
    <w:rsid w:val="00465EC1"/>
    <w:rsid w:val="00472E86"/>
    <w:rsid w:val="004B51A0"/>
    <w:rsid w:val="004C1555"/>
    <w:rsid w:val="004C5E4C"/>
    <w:rsid w:val="004D435A"/>
    <w:rsid w:val="004F62D9"/>
    <w:rsid w:val="00502BCE"/>
    <w:rsid w:val="00505718"/>
    <w:rsid w:val="00507C94"/>
    <w:rsid w:val="00534E76"/>
    <w:rsid w:val="005468D6"/>
    <w:rsid w:val="00557793"/>
    <w:rsid w:val="00557EC4"/>
    <w:rsid w:val="00572FBD"/>
    <w:rsid w:val="005B550E"/>
    <w:rsid w:val="005C4338"/>
    <w:rsid w:val="005D088B"/>
    <w:rsid w:val="005D618E"/>
    <w:rsid w:val="005F1D0F"/>
    <w:rsid w:val="00600617"/>
    <w:rsid w:val="00622F57"/>
    <w:rsid w:val="00631904"/>
    <w:rsid w:val="00640671"/>
    <w:rsid w:val="00653FD1"/>
    <w:rsid w:val="00666AD6"/>
    <w:rsid w:val="00672397"/>
    <w:rsid w:val="006A2DFD"/>
    <w:rsid w:val="006A35FF"/>
    <w:rsid w:val="006A6853"/>
    <w:rsid w:val="006A7EEF"/>
    <w:rsid w:val="006B1E02"/>
    <w:rsid w:val="006B2F1B"/>
    <w:rsid w:val="006B3BF3"/>
    <w:rsid w:val="006B5361"/>
    <w:rsid w:val="006C6A19"/>
    <w:rsid w:val="007076B0"/>
    <w:rsid w:val="00722E45"/>
    <w:rsid w:val="00731D01"/>
    <w:rsid w:val="00746494"/>
    <w:rsid w:val="007A005A"/>
    <w:rsid w:val="007A346F"/>
    <w:rsid w:val="007C0CB0"/>
    <w:rsid w:val="007C1C83"/>
    <w:rsid w:val="007D7DDE"/>
    <w:rsid w:val="0081315E"/>
    <w:rsid w:val="00825206"/>
    <w:rsid w:val="00834C22"/>
    <w:rsid w:val="00862FEA"/>
    <w:rsid w:val="008701A1"/>
    <w:rsid w:val="00872836"/>
    <w:rsid w:val="008776D7"/>
    <w:rsid w:val="008866E1"/>
    <w:rsid w:val="008964D9"/>
    <w:rsid w:val="008A0066"/>
    <w:rsid w:val="008B792D"/>
    <w:rsid w:val="008C7A0F"/>
    <w:rsid w:val="008F2AF7"/>
    <w:rsid w:val="008F6307"/>
    <w:rsid w:val="009007C3"/>
    <w:rsid w:val="009234A4"/>
    <w:rsid w:val="00944B4C"/>
    <w:rsid w:val="009528DA"/>
    <w:rsid w:val="009654D8"/>
    <w:rsid w:val="00985D00"/>
    <w:rsid w:val="009878C0"/>
    <w:rsid w:val="009A3FB0"/>
    <w:rsid w:val="009B0AF7"/>
    <w:rsid w:val="009C4BBC"/>
    <w:rsid w:val="009D3326"/>
    <w:rsid w:val="009F120A"/>
    <w:rsid w:val="00A01590"/>
    <w:rsid w:val="00A40BF6"/>
    <w:rsid w:val="00A56869"/>
    <w:rsid w:val="00A81FAE"/>
    <w:rsid w:val="00A83F7D"/>
    <w:rsid w:val="00A96635"/>
    <w:rsid w:val="00AA43C3"/>
    <w:rsid w:val="00AB60A6"/>
    <w:rsid w:val="00AD132C"/>
    <w:rsid w:val="00AD3541"/>
    <w:rsid w:val="00AD5F35"/>
    <w:rsid w:val="00B0264A"/>
    <w:rsid w:val="00B11A62"/>
    <w:rsid w:val="00B155AB"/>
    <w:rsid w:val="00B16263"/>
    <w:rsid w:val="00B23F82"/>
    <w:rsid w:val="00B30B51"/>
    <w:rsid w:val="00B30EDB"/>
    <w:rsid w:val="00B4575C"/>
    <w:rsid w:val="00B47BDF"/>
    <w:rsid w:val="00B83FAC"/>
    <w:rsid w:val="00B85604"/>
    <w:rsid w:val="00B93DCF"/>
    <w:rsid w:val="00B9703A"/>
    <w:rsid w:val="00B97069"/>
    <w:rsid w:val="00BA2CA7"/>
    <w:rsid w:val="00C01299"/>
    <w:rsid w:val="00C15FE7"/>
    <w:rsid w:val="00C21788"/>
    <w:rsid w:val="00C31822"/>
    <w:rsid w:val="00C5286D"/>
    <w:rsid w:val="00C67B4D"/>
    <w:rsid w:val="00C70AA0"/>
    <w:rsid w:val="00C75E56"/>
    <w:rsid w:val="00C822A3"/>
    <w:rsid w:val="00CA02D8"/>
    <w:rsid w:val="00CC2119"/>
    <w:rsid w:val="00CC536F"/>
    <w:rsid w:val="00CD34C1"/>
    <w:rsid w:val="00CE2BAF"/>
    <w:rsid w:val="00CF2A9E"/>
    <w:rsid w:val="00D10095"/>
    <w:rsid w:val="00D32215"/>
    <w:rsid w:val="00D3686D"/>
    <w:rsid w:val="00D42B86"/>
    <w:rsid w:val="00D655D0"/>
    <w:rsid w:val="00D734B8"/>
    <w:rsid w:val="00DA03B0"/>
    <w:rsid w:val="00DA127F"/>
    <w:rsid w:val="00DF213A"/>
    <w:rsid w:val="00E071FA"/>
    <w:rsid w:val="00E17B1B"/>
    <w:rsid w:val="00E35D6F"/>
    <w:rsid w:val="00E36719"/>
    <w:rsid w:val="00E44E4B"/>
    <w:rsid w:val="00E45DB3"/>
    <w:rsid w:val="00E82F7C"/>
    <w:rsid w:val="00EC37C0"/>
    <w:rsid w:val="00ED21E3"/>
    <w:rsid w:val="00EE368B"/>
    <w:rsid w:val="00F32AA2"/>
    <w:rsid w:val="00F40B09"/>
    <w:rsid w:val="00F5041E"/>
    <w:rsid w:val="00F847B5"/>
    <w:rsid w:val="00F945FA"/>
    <w:rsid w:val="00FA50B4"/>
    <w:rsid w:val="00FB008D"/>
    <w:rsid w:val="00FB427A"/>
    <w:rsid w:val="00FB5E7E"/>
    <w:rsid w:val="00FE0AD5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BD90"/>
  <w15:docId w15:val="{C2B7B8CB-74BA-4A55-BC47-CED13CDD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90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01590"/>
    <w:rPr>
      <w:color w:val="0000FF"/>
      <w:u w:val="single"/>
    </w:rPr>
  </w:style>
  <w:style w:type="paragraph" w:styleId="Footer">
    <w:name w:val="footer"/>
    <w:basedOn w:val="Normal"/>
    <w:link w:val="FooterChar"/>
    <w:rsid w:val="00A0159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01590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Default">
    <w:name w:val="Default"/>
    <w:rsid w:val="00A0159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01590"/>
  </w:style>
  <w:style w:type="paragraph" w:styleId="NoSpacing">
    <w:name w:val="No Spacing"/>
    <w:uiPriority w:val="1"/>
    <w:qFormat/>
    <w:rsid w:val="00A0159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0159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C3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7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C37C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7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37C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7C0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E071FA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71F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071FA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unhideWhenUsed/>
    <w:rsid w:val="00E071FA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rsid w:val="007A346F"/>
    <w:pPr>
      <w:jc w:val="both"/>
    </w:pPr>
    <w:rPr>
      <w:rFonts w:ascii="Times New Roman" w:hAnsi="Times New Roman"/>
      <w:sz w:val="22"/>
      <w:szCs w:val="20"/>
    </w:rPr>
  </w:style>
  <w:style w:type="character" w:customStyle="1" w:styleId="BodyTextIndent2Char">
    <w:name w:val="Body Text Indent 2 Char"/>
    <w:link w:val="BodyTextIndent2"/>
    <w:semiHidden/>
    <w:rsid w:val="007A346F"/>
    <w:rPr>
      <w:rFonts w:ascii="Times New Roman" w:eastAsia="Times New Roman" w:hAnsi="Times New Roman"/>
      <w:sz w:val="22"/>
      <w:lang w:eastAsia="en-US"/>
    </w:rPr>
  </w:style>
  <w:style w:type="character" w:styleId="Emphasis">
    <w:name w:val="Emphasis"/>
    <w:uiPriority w:val="20"/>
    <w:qFormat/>
    <w:rsid w:val="000216C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B3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A7"/>
    <w:rPr>
      <w:rFonts w:ascii="Arial" w:eastAsia="Times New Roman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worc.ac.uk/aqu/655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worc.ac.uk/partners/657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2.worc.ac.uk/aqu/655.ht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B0364.41226E3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0CEA-6AA9-4C15-B057-0707A6C9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8196</CharactersWithSpaces>
  <SharedDoc>false</SharedDoc>
  <HLinks>
    <vt:vector size="228" baseType="variant">
      <vt:variant>
        <vt:i4>393290</vt:i4>
      </vt:variant>
      <vt:variant>
        <vt:i4>111</vt:i4>
      </vt:variant>
      <vt:variant>
        <vt:i4>0</vt:i4>
      </vt:variant>
      <vt:variant>
        <vt:i4>5</vt:i4>
      </vt:variant>
      <vt:variant>
        <vt:lpwstr>http://www.worcester.ac.uk/howsitgoing/index.htm</vt:lpwstr>
      </vt:variant>
      <vt:variant>
        <vt:lpwstr/>
      </vt:variant>
      <vt:variant>
        <vt:i4>7340142</vt:i4>
      </vt:variant>
      <vt:variant>
        <vt:i4>108</vt:i4>
      </vt:variant>
      <vt:variant>
        <vt:i4>0</vt:i4>
      </vt:variant>
      <vt:variant>
        <vt:i4>5</vt:i4>
      </vt:variant>
      <vt:variant>
        <vt:lpwstr>http://www.worc.ac.uk/wfa/</vt:lpwstr>
      </vt:variant>
      <vt:variant>
        <vt:lpwstr/>
      </vt:variant>
      <vt:variant>
        <vt:i4>6881386</vt:i4>
      </vt:variant>
      <vt:variant>
        <vt:i4>105</vt:i4>
      </vt:variant>
      <vt:variant>
        <vt:i4>0</vt:i4>
      </vt:variant>
      <vt:variant>
        <vt:i4>5</vt:i4>
      </vt:variant>
      <vt:variant>
        <vt:lpwstr>http://www.worcester.ac.uk/student-services/disability-and-dyslexia.htm</vt:lpwstr>
      </vt:variant>
      <vt:variant>
        <vt:lpwstr/>
      </vt:variant>
      <vt:variant>
        <vt:i4>7340159</vt:i4>
      </vt:variant>
      <vt:variant>
        <vt:i4>102</vt:i4>
      </vt:variant>
      <vt:variant>
        <vt:i4>0</vt:i4>
      </vt:variant>
      <vt:variant>
        <vt:i4>5</vt:i4>
      </vt:variant>
      <vt:variant>
        <vt:lpwstr>http://www.worc.ac.uk/counselling/</vt:lpwstr>
      </vt:variant>
      <vt:variant>
        <vt:lpwstr/>
      </vt:variant>
      <vt:variant>
        <vt:i4>3604531</vt:i4>
      </vt:variant>
      <vt:variant>
        <vt:i4>99</vt:i4>
      </vt:variant>
      <vt:variant>
        <vt:i4>0</vt:i4>
      </vt:variant>
      <vt:variant>
        <vt:i4>5</vt:i4>
      </vt:variant>
      <vt:variant>
        <vt:lpwstr>http://www.worcester.ac.uk/student-services/chaplaincy.htm</vt:lpwstr>
      </vt:variant>
      <vt:variant>
        <vt:lpwstr/>
      </vt:variant>
      <vt:variant>
        <vt:i4>6291583</vt:i4>
      </vt:variant>
      <vt:variant>
        <vt:i4>96</vt:i4>
      </vt:variant>
      <vt:variant>
        <vt:i4>0</vt:i4>
      </vt:variant>
      <vt:variant>
        <vt:i4>5</vt:i4>
      </vt:variant>
      <vt:variant>
        <vt:lpwstr>http://www.worc.ac.uk/careers/</vt:lpwstr>
      </vt:variant>
      <vt:variant>
        <vt:lpwstr/>
      </vt:variant>
      <vt:variant>
        <vt:i4>7536689</vt:i4>
      </vt:variant>
      <vt:variant>
        <vt:i4>93</vt:i4>
      </vt:variant>
      <vt:variant>
        <vt:i4>0</vt:i4>
      </vt:variant>
      <vt:variant>
        <vt:i4>5</vt:i4>
      </vt:variant>
      <vt:variant>
        <vt:lpwstr>http://www.worcester.ac.uk/ils/</vt:lpwstr>
      </vt:variant>
      <vt:variant>
        <vt:lpwstr/>
      </vt:variant>
      <vt:variant>
        <vt:i4>7209060</vt:i4>
      </vt:variant>
      <vt:variant>
        <vt:i4>90</vt:i4>
      </vt:variant>
      <vt:variant>
        <vt:i4>0</vt:i4>
      </vt:variant>
      <vt:variant>
        <vt:i4>5</vt:i4>
      </vt:variant>
      <vt:variant>
        <vt:lpwstr>http://www.worc.ac.uk/aqu/documents/QualitystandardsforFlexDistLearning.doc</vt:lpwstr>
      </vt:variant>
      <vt:variant>
        <vt:lpwstr/>
      </vt:variant>
      <vt:variant>
        <vt:i4>3145763</vt:i4>
      </vt:variant>
      <vt:variant>
        <vt:i4>87</vt:i4>
      </vt:variant>
      <vt:variant>
        <vt:i4>0</vt:i4>
      </vt:variant>
      <vt:variant>
        <vt:i4>5</vt:i4>
      </vt:variant>
      <vt:variant>
        <vt:lpwstr>http://www.qaa.ac.uk/Publications/InformationAndGuidance/Pages/Code-of-practice-Section-9.aspx</vt:lpwstr>
      </vt:variant>
      <vt:variant>
        <vt:lpwstr/>
      </vt:variant>
      <vt:variant>
        <vt:i4>5111899</vt:i4>
      </vt:variant>
      <vt:variant>
        <vt:i4>84</vt:i4>
      </vt:variant>
      <vt:variant>
        <vt:i4>0</vt:i4>
      </vt:variant>
      <vt:variant>
        <vt:i4>5</vt:i4>
      </vt:variant>
      <vt:variant>
        <vt:lpwstr>http://www.thestudentsurvey.com/</vt:lpwstr>
      </vt:variant>
      <vt:variant>
        <vt:lpwstr/>
      </vt:variant>
      <vt:variant>
        <vt:i4>6291560</vt:i4>
      </vt:variant>
      <vt:variant>
        <vt:i4>81</vt:i4>
      </vt:variant>
      <vt:variant>
        <vt:i4>0</vt:i4>
      </vt:variant>
      <vt:variant>
        <vt:i4>5</vt:i4>
      </vt:variant>
      <vt:variant>
        <vt:lpwstr>http://www.worc.ac.uk/aqu/documents/Module_Evaluation_Policy.pdf</vt:lpwstr>
      </vt:variant>
      <vt:variant>
        <vt:lpwstr/>
      </vt:variant>
      <vt:variant>
        <vt:i4>1245278</vt:i4>
      </vt:variant>
      <vt:variant>
        <vt:i4>78</vt:i4>
      </vt:variant>
      <vt:variant>
        <vt:i4>0</vt:i4>
      </vt:variant>
      <vt:variant>
        <vt:i4>5</vt:i4>
      </vt:variant>
      <vt:variant>
        <vt:lpwstr>http://www.worcsu.com/stars/content/572313/resources/</vt:lpwstr>
      </vt:variant>
      <vt:variant>
        <vt:lpwstr/>
      </vt:variant>
      <vt:variant>
        <vt:i4>2228327</vt:i4>
      </vt:variant>
      <vt:variant>
        <vt:i4>75</vt:i4>
      </vt:variant>
      <vt:variant>
        <vt:i4>0</vt:i4>
      </vt:variant>
      <vt:variant>
        <vt:i4>5</vt:i4>
      </vt:variant>
      <vt:variant>
        <vt:lpwstr>http://everest.worc.ac.uk/sole/</vt:lpwstr>
      </vt:variant>
      <vt:variant>
        <vt:lpwstr/>
      </vt:variant>
      <vt:variant>
        <vt:i4>1114136</vt:i4>
      </vt:variant>
      <vt:variant>
        <vt:i4>72</vt:i4>
      </vt:variant>
      <vt:variant>
        <vt:i4>0</vt:i4>
      </vt:variant>
      <vt:variant>
        <vt:i4>5</vt:i4>
      </vt:variant>
      <vt:variant>
        <vt:lpwstr>https://login.worc.ac.uk/</vt:lpwstr>
      </vt:variant>
      <vt:variant>
        <vt:lpwstr/>
      </vt:variant>
      <vt:variant>
        <vt:i4>3276856</vt:i4>
      </vt:variant>
      <vt:variant>
        <vt:i4>69</vt:i4>
      </vt:variant>
      <vt:variant>
        <vt:i4>0</vt:i4>
      </vt:variant>
      <vt:variant>
        <vt:i4>5</vt:i4>
      </vt:variant>
      <vt:variant>
        <vt:lpwstr>http://www.worcester.ac.uk/registryservices/679.htm</vt:lpwstr>
      </vt:variant>
      <vt:variant>
        <vt:lpwstr/>
      </vt:variant>
      <vt:variant>
        <vt:i4>3276856</vt:i4>
      </vt:variant>
      <vt:variant>
        <vt:i4>66</vt:i4>
      </vt:variant>
      <vt:variant>
        <vt:i4>0</vt:i4>
      </vt:variant>
      <vt:variant>
        <vt:i4>5</vt:i4>
      </vt:variant>
      <vt:variant>
        <vt:lpwstr>http://www.worcester.ac.uk/registryservices/679.htm</vt:lpwstr>
      </vt:variant>
      <vt:variant>
        <vt:lpwstr/>
      </vt:variant>
      <vt:variant>
        <vt:i4>5963859</vt:i4>
      </vt:variant>
      <vt:variant>
        <vt:i4>63</vt:i4>
      </vt:variant>
      <vt:variant>
        <vt:i4>0</vt:i4>
      </vt:variant>
      <vt:variant>
        <vt:i4>5</vt:i4>
      </vt:variant>
      <vt:variant>
        <vt:lpwstr>http://www.worc.ac.uk/aqu/documents/GradeDescriptorsMastersLevel.pdf</vt:lpwstr>
      </vt:variant>
      <vt:variant>
        <vt:lpwstr/>
      </vt:variant>
      <vt:variant>
        <vt:i4>5374031</vt:i4>
      </vt:variant>
      <vt:variant>
        <vt:i4>60</vt:i4>
      </vt:variant>
      <vt:variant>
        <vt:i4>0</vt:i4>
      </vt:variant>
      <vt:variant>
        <vt:i4>5</vt:i4>
      </vt:variant>
      <vt:variant>
        <vt:lpwstr>http://www.worc.ac.uk/aqu/documents/GenericUndergraduateGradeDescriptors.pdf</vt:lpwstr>
      </vt:variant>
      <vt:variant>
        <vt:lpwstr/>
      </vt:variant>
      <vt:variant>
        <vt:i4>3342391</vt:i4>
      </vt:variant>
      <vt:variant>
        <vt:i4>57</vt:i4>
      </vt:variant>
      <vt:variant>
        <vt:i4>0</vt:i4>
      </vt:variant>
      <vt:variant>
        <vt:i4>5</vt:i4>
      </vt:variant>
      <vt:variant>
        <vt:lpwstr>http://www.worcester.ac.uk/registryservices/666.htm</vt:lpwstr>
      </vt:variant>
      <vt:variant>
        <vt:lpwstr/>
      </vt:variant>
      <vt:variant>
        <vt:i4>5046362</vt:i4>
      </vt:variant>
      <vt:variant>
        <vt:i4>54</vt:i4>
      </vt:variant>
      <vt:variant>
        <vt:i4>0</vt:i4>
      </vt:variant>
      <vt:variant>
        <vt:i4>5</vt:i4>
      </vt:variant>
      <vt:variant>
        <vt:lpwstr>http://www.worcester.ac.uk/registryservices/documents/FitnesstoPractiseProcedures.pdf</vt:lpwstr>
      </vt:variant>
      <vt:variant>
        <vt:lpwstr/>
      </vt:variant>
      <vt:variant>
        <vt:i4>7798897</vt:i4>
      </vt:variant>
      <vt:variant>
        <vt:i4>51</vt:i4>
      </vt:variant>
      <vt:variant>
        <vt:i4>0</vt:i4>
      </vt:variant>
      <vt:variant>
        <vt:i4>5</vt:i4>
      </vt:variant>
      <vt:variant>
        <vt:lpwstr>http://www.worcester.ac.uk/registryservices/documents/StudentCodeofConduct.pdf</vt:lpwstr>
      </vt:variant>
      <vt:variant>
        <vt:lpwstr/>
      </vt:variant>
      <vt:variant>
        <vt:i4>589847</vt:i4>
      </vt:variant>
      <vt:variant>
        <vt:i4>48</vt:i4>
      </vt:variant>
      <vt:variant>
        <vt:i4>0</vt:i4>
      </vt:variant>
      <vt:variant>
        <vt:i4>5</vt:i4>
      </vt:variant>
      <vt:variant>
        <vt:lpwstr>http://www.worc.ac.uk/aqu/documents/IndependentStudyGuideTemplate.doc</vt:lpwstr>
      </vt:variant>
      <vt:variant>
        <vt:lpwstr/>
      </vt:variant>
      <vt:variant>
        <vt:i4>2490393</vt:i4>
      </vt:variant>
      <vt:variant>
        <vt:i4>45</vt:i4>
      </vt:variant>
      <vt:variant>
        <vt:i4>0</vt:i4>
      </vt:variant>
      <vt:variant>
        <vt:i4>5</vt:i4>
      </vt:variant>
      <vt:variant>
        <vt:lpwstr>http://www.worc.ac.uk/aqu/documents/Guidance_for_Institutes_on_making_IS_optional_8_2_10.doc</vt:lpwstr>
      </vt:variant>
      <vt:variant>
        <vt:lpwstr/>
      </vt:variant>
      <vt:variant>
        <vt:i4>7536740</vt:i4>
      </vt:variant>
      <vt:variant>
        <vt:i4>42</vt:i4>
      </vt:variant>
      <vt:variant>
        <vt:i4>0</vt:i4>
      </vt:variant>
      <vt:variant>
        <vt:i4>5</vt:i4>
      </vt:variant>
      <vt:variant>
        <vt:lpwstr>http://www.worcester.ac.uk/registryservices/documents/PostgraduateRegulatoryFramework2007entry.pdf</vt:lpwstr>
      </vt:variant>
      <vt:variant>
        <vt:lpwstr/>
      </vt:variant>
      <vt:variant>
        <vt:i4>4128830</vt:i4>
      </vt:variant>
      <vt:variant>
        <vt:i4>39</vt:i4>
      </vt:variant>
      <vt:variant>
        <vt:i4>0</vt:i4>
      </vt:variant>
      <vt:variant>
        <vt:i4>5</vt:i4>
      </vt:variant>
      <vt:variant>
        <vt:lpwstr>http://www.worcester.ac.uk/registryservices/documents/UndergraduateRegulatoryFramework2007entry.pdf</vt:lpwstr>
      </vt:variant>
      <vt:variant>
        <vt:lpwstr/>
      </vt:variant>
      <vt:variant>
        <vt:i4>6160460</vt:i4>
      </vt:variant>
      <vt:variant>
        <vt:i4>36</vt:i4>
      </vt:variant>
      <vt:variant>
        <vt:i4>0</vt:i4>
      </vt:variant>
      <vt:variant>
        <vt:i4>5</vt:i4>
      </vt:variant>
      <vt:variant>
        <vt:lpwstr>http://www.worc.ac.uk/aqu/documents/AssessmentPolicy.pdf</vt:lpwstr>
      </vt:variant>
      <vt:variant>
        <vt:lpwstr/>
      </vt:variant>
      <vt:variant>
        <vt:i4>2621567</vt:i4>
      </vt:variant>
      <vt:variant>
        <vt:i4>33</vt:i4>
      </vt:variant>
      <vt:variant>
        <vt:i4>0</vt:i4>
      </vt:variant>
      <vt:variant>
        <vt:i4>5</vt:i4>
      </vt:variant>
      <vt:variant>
        <vt:lpwstr>http://www.worcester.ac.uk/ils/1009.htm</vt:lpwstr>
      </vt:variant>
      <vt:variant>
        <vt:lpwstr/>
      </vt:variant>
      <vt:variant>
        <vt:i4>1441912</vt:i4>
      </vt:variant>
      <vt:variant>
        <vt:i4>30</vt:i4>
      </vt:variant>
      <vt:variant>
        <vt:i4>0</vt:i4>
      </vt:variant>
      <vt:variant>
        <vt:i4>5</vt:i4>
      </vt:variant>
      <vt:variant>
        <vt:lpwstr>http://www.worc.ac.uk/ils/documents/Final_Harvard_ref_citing_2db_15Jn08_amended_dt270209_re-formatted_%284%29.pdf</vt:lpwstr>
      </vt:variant>
      <vt:variant>
        <vt:lpwstr/>
      </vt:variant>
      <vt:variant>
        <vt:i4>8192125</vt:i4>
      </vt:variant>
      <vt:variant>
        <vt:i4>27</vt:i4>
      </vt:variant>
      <vt:variant>
        <vt:i4>0</vt:i4>
      </vt:variant>
      <vt:variant>
        <vt:i4>5</vt:i4>
      </vt:variant>
      <vt:variant>
        <vt:lpwstr>http://www.worcester.ac.uk/ils/992.htm</vt:lpwstr>
      </vt:variant>
      <vt:variant>
        <vt:lpwstr/>
      </vt:variant>
      <vt:variant>
        <vt:i4>5898328</vt:i4>
      </vt:variant>
      <vt:variant>
        <vt:i4>24</vt:i4>
      </vt:variant>
      <vt:variant>
        <vt:i4>0</vt:i4>
      </vt:variant>
      <vt:variant>
        <vt:i4>5</vt:i4>
      </vt:variant>
      <vt:variant>
        <vt:lpwstr>http://www.worcester.ac.uk/registryservices/documents/Studentcomplaintsprocedures.pdf</vt:lpwstr>
      </vt:variant>
      <vt:variant>
        <vt:lpwstr/>
      </vt:variant>
      <vt:variant>
        <vt:i4>7602283</vt:i4>
      </vt:variant>
      <vt:variant>
        <vt:i4>21</vt:i4>
      </vt:variant>
      <vt:variant>
        <vt:i4>0</vt:i4>
      </vt:variant>
      <vt:variant>
        <vt:i4>5</vt:i4>
      </vt:variant>
      <vt:variant>
        <vt:lpwstr>http://www.worcester.ac.uk/registryservices/documents/Proceduresformitigatingcircumstances.pdf</vt:lpwstr>
      </vt:variant>
      <vt:variant>
        <vt:lpwstr/>
      </vt:variant>
      <vt:variant>
        <vt:i4>6225987</vt:i4>
      </vt:variant>
      <vt:variant>
        <vt:i4>18</vt:i4>
      </vt:variant>
      <vt:variant>
        <vt:i4>0</vt:i4>
      </vt:variant>
      <vt:variant>
        <vt:i4>5</vt:i4>
      </vt:variant>
      <vt:variant>
        <vt:lpwstr>http://www.worcester.ac.uk/registryservices/documents/Proceduresforinvestigationofallegedcheating.pdf</vt:lpwstr>
      </vt:variant>
      <vt:variant>
        <vt:lpwstr/>
      </vt:variant>
      <vt:variant>
        <vt:i4>3211320</vt:i4>
      </vt:variant>
      <vt:variant>
        <vt:i4>15</vt:i4>
      </vt:variant>
      <vt:variant>
        <vt:i4>0</vt:i4>
      </vt:variant>
      <vt:variant>
        <vt:i4>5</vt:i4>
      </vt:variant>
      <vt:variant>
        <vt:lpwstr>http://www.worcester.ac.uk/registryservices/649.htm</vt:lpwstr>
      </vt:variant>
      <vt:variant>
        <vt:lpwstr/>
      </vt:variant>
      <vt:variant>
        <vt:i4>1572954</vt:i4>
      </vt:variant>
      <vt:variant>
        <vt:i4>12</vt:i4>
      </vt:variant>
      <vt:variant>
        <vt:i4>0</vt:i4>
      </vt:variant>
      <vt:variant>
        <vt:i4>5</vt:i4>
      </vt:variant>
      <vt:variant>
        <vt:lpwstr>http://www.heacademy.ac.uk/ourwork/teachingandlearning/sustainability</vt:lpwstr>
      </vt:variant>
      <vt:variant>
        <vt:lpwstr/>
      </vt:variant>
      <vt:variant>
        <vt:i4>1114136</vt:i4>
      </vt:variant>
      <vt:variant>
        <vt:i4>9</vt:i4>
      </vt:variant>
      <vt:variant>
        <vt:i4>0</vt:i4>
      </vt:variant>
      <vt:variant>
        <vt:i4>5</vt:i4>
      </vt:variant>
      <vt:variant>
        <vt:lpwstr>https://login.worc.ac.uk/</vt:lpwstr>
      </vt:variant>
      <vt:variant>
        <vt:lpwstr/>
      </vt:variant>
      <vt:variant>
        <vt:i4>6291567</vt:i4>
      </vt:variant>
      <vt:variant>
        <vt:i4>6</vt:i4>
      </vt:variant>
      <vt:variant>
        <vt:i4>0</vt:i4>
      </vt:variant>
      <vt:variant>
        <vt:i4>5</vt:i4>
      </vt:variant>
      <vt:variant>
        <vt:lpwstr>http://www.worc.ac.uk/aqu/documents/PolicyQualityStandardsonPersonalDevelopmentPlanning.doc</vt:lpwstr>
      </vt:variant>
      <vt:variant>
        <vt:lpwstr/>
      </vt:variant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http://www.worc.ac.uk/aqu/documents/AcademicTutoringArrangements201112.pdf</vt:lpwstr>
      </vt:variant>
      <vt:variant>
        <vt:lpwstr/>
      </vt:variant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http://www.worc.ac.uk/aqu/documents/QualitystandardsforFlexDistLearning.doc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stom1</dc:creator>
  <cp:lastModifiedBy>Teresa Nahajski</cp:lastModifiedBy>
  <cp:revision>10</cp:revision>
  <cp:lastPrinted>2012-09-18T07:59:00Z</cp:lastPrinted>
  <dcterms:created xsi:type="dcterms:W3CDTF">2016-08-18T16:23:00Z</dcterms:created>
  <dcterms:modified xsi:type="dcterms:W3CDTF">2025-01-14T12:13:00Z</dcterms:modified>
</cp:coreProperties>
</file>